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-161" w:right="-29"/>
        <w:rPr>
          <w:rFonts w:ascii="Times New Roman"/>
          <w:sz w:val="20"/>
        </w:rPr>
      </w:pPr>
      <w:r>
        <w:rPr/>
        <w:pict>
          <v:shape style="position:absolute;margin-left:0pt;margin-top:270.299988pt;width:8.5pt;height:.9pt;mso-position-horizontal-relative:page;mso-position-vertical-relative:page;z-index:15730688" id="docshape1" coordorigin="0,5406" coordsize="170,18" path="m152,5406l0,5406,0,5424,153,5424,159,5423,167,5421,169,5418,169,5413,156,5406,152,5406xe" filled="true" fillcolor="#c0c0c0" stroked="false">
            <v:path arrowok="t"/>
            <v:fill type="solid"/>
            <w10:wrap type="none"/>
          </v:shape>
        </w:pict>
      </w:r>
      <w:r>
        <w:rPr>
          <w:rFonts w:ascii="Times New Roman"/>
          <w:sz w:val="20"/>
        </w:rPr>
        <w:pict>
          <v:group style="width:502.85pt;height:56.25pt;mso-position-horizontal-relative:char;mso-position-vertical-relative:line" id="docshapegroup2" coordorigin="0,0" coordsize="10057,1125">
            <v:shape style="position:absolute;left:0;top:203;width:1191;height:922" type="#_x0000_t75" id="docshape3" stroked="false">
              <v:imagedata r:id="rId5" o:title=""/>
            </v:shape>
            <v:rect style="position:absolute;left:1107;top:0;width:8950;height:637" id="docshape4" filled="true" fillcolor="#ffffff" stroked="false">
              <v:fill type="solid"/>
            </v:re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0;top:0;width:10057;height:1125" type="#_x0000_t202" id="docshape5" filled="false" stroked="false">
              <v:textbox inset="0,0,0,0">
                <w:txbxContent>
                  <w:p>
                    <w:pPr>
                      <w:spacing w:before="49"/>
                      <w:ind w:left="1149" w:right="1688" w:firstLine="0"/>
                      <w:jc w:val="center"/>
                      <w:rPr>
                        <w:b/>
                        <w:sz w:val="42"/>
                      </w:rPr>
                    </w:pPr>
                    <w:r>
                      <w:rPr>
                        <w:b/>
                        <w:color w:val="FF0000"/>
                        <w:sz w:val="42"/>
                      </w:rPr>
                      <w:t>Q</w:t>
                    </w:r>
                    <w:r>
                      <w:rPr>
                        <w:b/>
                        <w:sz w:val="42"/>
                      </w:rPr>
                      <w:t>ueensland</w:t>
                    </w:r>
                    <w:r>
                      <w:rPr>
                        <w:b/>
                        <w:spacing w:val="1"/>
                        <w:sz w:val="42"/>
                      </w:rPr>
                      <w:t> </w:t>
                    </w:r>
                    <w:r>
                      <w:rPr>
                        <w:b/>
                        <w:color w:val="FF0000"/>
                        <w:sz w:val="42"/>
                      </w:rPr>
                      <w:t>A</w:t>
                    </w:r>
                    <w:r>
                      <w:rPr>
                        <w:b/>
                        <w:sz w:val="42"/>
                      </w:rPr>
                      <w:t>dvocacy</w:t>
                    </w:r>
                    <w:r>
                      <w:rPr>
                        <w:b/>
                        <w:spacing w:val="-11"/>
                        <w:sz w:val="42"/>
                      </w:rPr>
                      <w:t> </w:t>
                    </w:r>
                    <w:r>
                      <w:rPr>
                        <w:b/>
                        <w:color w:val="FF0000"/>
                        <w:sz w:val="42"/>
                      </w:rPr>
                      <w:t>I</w:t>
                    </w:r>
                    <w:r>
                      <w:rPr>
                        <w:b/>
                        <w:sz w:val="42"/>
                      </w:rPr>
                      <w:t>ncorporated</w:t>
                    </w:r>
                  </w:p>
                  <w:p>
                    <w:pPr>
                      <w:spacing w:line="242" w:lineRule="auto" w:before="111"/>
                      <w:ind w:left="1633" w:right="0" w:hanging="228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Our</w:t>
                    </w:r>
                    <w:r>
                      <w:rPr>
                        <w:b/>
                        <w:spacing w:val="-6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mission</w:t>
                    </w:r>
                    <w:r>
                      <w:rPr>
                        <w:b/>
                        <w:spacing w:val="-6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is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to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promote,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protect</w:t>
                    </w:r>
                    <w:r>
                      <w:rPr>
                        <w:b/>
                        <w:spacing w:val="-2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and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defend,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through</w:t>
                    </w:r>
                    <w:r>
                      <w:rPr>
                        <w:b/>
                        <w:spacing w:val="-6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advocacy,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the</w:t>
                    </w:r>
                    <w:r>
                      <w:rPr>
                        <w:b/>
                        <w:spacing w:val="-4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fundamental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needs</w:t>
                    </w:r>
                    <w:r>
                      <w:rPr>
                        <w:b/>
                        <w:spacing w:val="-5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and</w:t>
                    </w:r>
                    <w:r>
                      <w:rPr>
                        <w:b/>
                        <w:spacing w:val="-1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rights</w:t>
                    </w:r>
                    <w:r>
                      <w:rPr>
                        <w:b/>
                        <w:spacing w:val="1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and lives</w:t>
                    </w:r>
                    <w:r>
                      <w:rPr>
                        <w:b/>
                        <w:spacing w:val="-1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of</w:t>
                    </w:r>
                    <w:r>
                      <w:rPr>
                        <w:b/>
                        <w:spacing w:val="-4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the</w:t>
                    </w:r>
                    <w:r>
                      <w:rPr>
                        <w:b/>
                        <w:spacing w:val="-1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most vulnerable people</w:t>
                    </w:r>
                    <w:r>
                      <w:rPr>
                        <w:b/>
                        <w:spacing w:val="-1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with</w:t>
                    </w:r>
                    <w:r>
                      <w:rPr>
                        <w:b/>
                        <w:spacing w:val="-4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disability</w:t>
                    </w:r>
                    <w:r>
                      <w:rPr>
                        <w:b/>
                        <w:spacing w:val="-5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in</w:t>
                    </w:r>
                    <w:r>
                      <w:rPr>
                        <w:b/>
                        <w:spacing w:val="-4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Queensland.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Times New Roman"/>
          <w:sz w:val="20"/>
        </w:rPr>
      </w:r>
    </w:p>
    <w:p>
      <w:pPr>
        <w:spacing w:before="112"/>
        <w:ind w:left="4617" w:right="0" w:firstLine="0"/>
        <w:jc w:val="left"/>
        <w:rPr>
          <w:b/>
          <w:i/>
          <w:sz w:val="16"/>
        </w:rPr>
      </w:pPr>
      <w:r>
        <w:rPr/>
        <w:pict>
          <v:shape style="position:absolute;margin-left:106.82pt;margin-top:-54.421558pt;width:342.25pt;height:22.35pt;mso-position-horizontal-relative:page;mso-position-vertical-relative:paragraph;z-index:-15846400" type="#_x0000_t202" id="docshape6" filled="false" stroked="false">
            <v:textbox inset="0,0,0,0">
              <w:txbxContent>
                <w:p>
                  <w:pPr>
                    <w:spacing w:line="447" w:lineRule="exact" w:before="0"/>
                    <w:ind w:left="0" w:right="0" w:firstLine="0"/>
                    <w:jc w:val="left"/>
                    <w:rPr>
                      <w:b/>
                      <w:sz w:val="40"/>
                    </w:rPr>
                  </w:pPr>
                  <w:r>
                    <w:rPr>
                      <w:b/>
                      <w:color w:val="FF0000"/>
                      <w:sz w:val="40"/>
                    </w:rPr>
                    <w:t>Q</w:t>
                  </w:r>
                  <w:r>
                    <w:rPr>
                      <w:b/>
                      <w:sz w:val="40"/>
                    </w:rPr>
                    <w:t>ueensland</w:t>
                  </w:r>
                  <w:r>
                    <w:rPr>
                      <w:b/>
                      <w:spacing w:val="-6"/>
                      <w:sz w:val="40"/>
                    </w:rPr>
                    <w:t> </w:t>
                  </w:r>
                  <w:r>
                    <w:rPr>
                      <w:b/>
                      <w:color w:val="FF0000"/>
                      <w:sz w:val="40"/>
                    </w:rPr>
                    <w:t>A</w:t>
                  </w:r>
                  <w:r>
                    <w:rPr>
                      <w:b/>
                      <w:sz w:val="40"/>
                    </w:rPr>
                    <w:t>dvocacy</w:t>
                  </w:r>
                  <w:r>
                    <w:rPr>
                      <w:b/>
                      <w:spacing w:val="-14"/>
                      <w:sz w:val="40"/>
                    </w:rPr>
                    <w:t> </w:t>
                  </w:r>
                  <w:r>
                    <w:rPr>
                      <w:b/>
                      <w:color w:val="FF0000"/>
                      <w:sz w:val="40"/>
                    </w:rPr>
                    <w:t>I</w:t>
                  </w:r>
                  <w:r>
                    <w:rPr>
                      <w:b/>
                      <w:sz w:val="40"/>
                    </w:rPr>
                    <w:t>ncorporated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99.625pt;margin-top:-54.421558pt;width:342.25pt;height:22.35pt;mso-position-horizontal-relative:page;mso-position-vertical-relative:paragraph;z-index:-15845888" type="#_x0000_t202" id="docshape7" filled="false" stroked="false">
            <v:textbox inset="0,0,0,0">
              <w:txbxContent>
                <w:p>
                  <w:pPr>
                    <w:spacing w:line="447" w:lineRule="exact" w:before="0"/>
                    <w:ind w:left="0" w:right="0" w:firstLine="0"/>
                    <w:jc w:val="left"/>
                    <w:rPr>
                      <w:b/>
                      <w:sz w:val="40"/>
                    </w:rPr>
                  </w:pPr>
                  <w:r>
                    <w:rPr>
                      <w:b/>
                      <w:color w:val="FF0000"/>
                      <w:sz w:val="40"/>
                    </w:rPr>
                    <w:t>Q</w:t>
                  </w:r>
                  <w:r>
                    <w:rPr>
                      <w:b/>
                      <w:sz w:val="40"/>
                    </w:rPr>
                    <w:t>ueensland</w:t>
                  </w:r>
                  <w:r>
                    <w:rPr>
                      <w:b/>
                      <w:spacing w:val="-5"/>
                      <w:sz w:val="40"/>
                    </w:rPr>
                    <w:t> </w:t>
                  </w:r>
                  <w:r>
                    <w:rPr>
                      <w:b/>
                      <w:color w:val="FF0000"/>
                      <w:sz w:val="40"/>
                    </w:rPr>
                    <w:t>A</w:t>
                  </w:r>
                  <w:r>
                    <w:rPr>
                      <w:b/>
                      <w:sz w:val="40"/>
                    </w:rPr>
                    <w:t>dvocacy</w:t>
                  </w:r>
                  <w:r>
                    <w:rPr>
                      <w:b/>
                      <w:spacing w:val="-15"/>
                      <w:sz w:val="40"/>
                    </w:rPr>
                    <w:t> </w:t>
                  </w:r>
                  <w:r>
                    <w:rPr>
                      <w:b/>
                      <w:color w:val="FF0000"/>
                      <w:sz w:val="40"/>
                    </w:rPr>
                    <w:t>I</w:t>
                  </w:r>
                  <w:r>
                    <w:rPr>
                      <w:b/>
                      <w:sz w:val="40"/>
                    </w:rPr>
                    <w:t>ncorporated</w:t>
                  </w:r>
                </w:p>
              </w:txbxContent>
            </v:textbox>
            <w10:wrap type="none"/>
          </v:shape>
        </w:pict>
      </w:r>
      <w:r>
        <w:rPr/>
        <w:pict>
          <v:rect style="position:absolute;margin-left:32.950001pt;margin-top:2.383911pt;width:510.25pt;height:2.85pt;mso-position-horizontal-relative:page;mso-position-vertical-relative:paragraph;z-index:15731200" id="docshape8" filled="true" fillcolor="#ff0000" stroked="false">
            <v:fill type="solid"/>
            <w10:wrap type="none"/>
          </v:rect>
        </w:pict>
      </w:r>
      <w:r>
        <w:rPr>
          <w:b/>
          <w:i/>
          <w:sz w:val="16"/>
        </w:rPr>
        <w:t>Systems</w:t>
      </w:r>
      <w:r>
        <w:rPr>
          <w:b/>
          <w:i/>
          <w:spacing w:val="-4"/>
          <w:sz w:val="16"/>
        </w:rPr>
        <w:t> </w:t>
      </w:r>
      <w:r>
        <w:rPr>
          <w:b/>
          <w:i/>
          <w:sz w:val="16"/>
        </w:rPr>
        <w:t>and</w:t>
      </w:r>
      <w:r>
        <w:rPr>
          <w:b/>
          <w:i/>
          <w:spacing w:val="-4"/>
          <w:sz w:val="16"/>
        </w:rPr>
        <w:t> </w:t>
      </w:r>
      <w:r>
        <w:rPr>
          <w:b/>
          <w:i/>
          <w:sz w:val="16"/>
        </w:rPr>
        <w:t>Legal</w:t>
      </w:r>
      <w:r>
        <w:rPr>
          <w:b/>
          <w:i/>
          <w:spacing w:val="-8"/>
          <w:sz w:val="16"/>
        </w:rPr>
        <w:t> </w:t>
      </w:r>
      <w:r>
        <w:rPr>
          <w:b/>
          <w:i/>
          <w:sz w:val="16"/>
        </w:rPr>
        <w:t>Advocacy for</w:t>
      </w:r>
      <w:r>
        <w:rPr>
          <w:b/>
          <w:i/>
          <w:spacing w:val="-2"/>
          <w:sz w:val="16"/>
        </w:rPr>
        <w:t> </w:t>
      </w:r>
      <w:r>
        <w:rPr>
          <w:b/>
          <w:i/>
          <w:sz w:val="16"/>
        </w:rPr>
        <w:t>vulnerable people</w:t>
      </w:r>
      <w:r>
        <w:rPr>
          <w:b/>
          <w:i/>
          <w:spacing w:val="-4"/>
          <w:sz w:val="16"/>
        </w:rPr>
        <w:t> </w:t>
      </w:r>
      <w:r>
        <w:rPr>
          <w:b/>
          <w:i/>
          <w:sz w:val="16"/>
        </w:rPr>
        <w:t>with</w:t>
      </w:r>
      <w:r>
        <w:rPr>
          <w:b/>
          <w:i/>
          <w:spacing w:val="-4"/>
          <w:sz w:val="16"/>
        </w:rPr>
        <w:t> </w:t>
      </w:r>
      <w:r>
        <w:rPr>
          <w:b/>
          <w:i/>
          <w:sz w:val="16"/>
        </w:rPr>
        <w:t>Disability</w:t>
      </w: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Title"/>
      </w:pPr>
      <w:r>
        <w:rPr>
          <w:color w:val="FF0000"/>
        </w:rPr>
        <w:t>Guardianship and Administration and</w:t>
      </w:r>
      <w:r>
        <w:rPr>
          <w:color w:val="FF0000"/>
          <w:spacing w:val="1"/>
        </w:rPr>
        <w:t> </w:t>
      </w:r>
      <w:r>
        <w:rPr>
          <w:color w:val="FF0000"/>
        </w:rPr>
        <w:t>Other</w:t>
      </w:r>
      <w:r>
        <w:rPr>
          <w:color w:val="FF0000"/>
          <w:spacing w:val="-5"/>
        </w:rPr>
        <w:t> </w:t>
      </w:r>
      <w:r>
        <w:rPr>
          <w:color w:val="FF0000"/>
        </w:rPr>
        <w:t>Legislation</w:t>
      </w:r>
      <w:r>
        <w:rPr>
          <w:color w:val="FF0000"/>
          <w:spacing w:val="-6"/>
        </w:rPr>
        <w:t> </w:t>
      </w:r>
      <w:r>
        <w:rPr>
          <w:color w:val="FF0000"/>
        </w:rPr>
        <w:t>Amendment</w:t>
      </w:r>
      <w:r>
        <w:rPr>
          <w:color w:val="FF0000"/>
          <w:spacing w:val="-6"/>
        </w:rPr>
        <w:t> </w:t>
      </w:r>
      <w:r>
        <w:rPr>
          <w:color w:val="FF0000"/>
        </w:rPr>
        <w:t>Bill</w:t>
      </w:r>
      <w:r>
        <w:rPr>
          <w:color w:val="FF0000"/>
          <w:spacing w:val="-5"/>
        </w:rPr>
        <w:t> </w:t>
      </w:r>
      <w:r>
        <w:rPr>
          <w:color w:val="FF0000"/>
        </w:rPr>
        <w:t>2016</w:t>
      </w:r>
    </w:p>
    <w:p>
      <w:pPr>
        <w:pStyle w:val="BodyText"/>
        <w:spacing w:before="1"/>
        <w:rPr>
          <w:b/>
          <w:sz w:val="69"/>
        </w:rPr>
      </w:pPr>
    </w:p>
    <w:p>
      <w:pPr>
        <w:pStyle w:val="Heading1"/>
        <w:ind w:left="916" w:right="571"/>
        <w:jc w:val="center"/>
      </w:pPr>
      <w:r>
        <w:rPr/>
        <w:t>Submission by Queensland Advocacy</w:t>
      </w:r>
      <w:r>
        <w:rPr>
          <w:spacing w:val="-109"/>
        </w:rPr>
        <w:t> </w:t>
      </w:r>
      <w:r>
        <w:rPr/>
        <w:t>Incorporated</w:t>
      </w:r>
    </w:p>
    <w:p>
      <w:pPr>
        <w:pStyle w:val="BodyText"/>
        <w:spacing w:before="11"/>
        <w:rPr>
          <w:b/>
          <w:sz w:val="60"/>
        </w:rPr>
      </w:pPr>
    </w:p>
    <w:p>
      <w:pPr>
        <w:spacing w:before="0"/>
        <w:ind w:left="916" w:right="575" w:firstLine="0"/>
        <w:jc w:val="center"/>
        <w:rPr>
          <w:b/>
          <w:sz w:val="40"/>
        </w:rPr>
      </w:pPr>
      <w:r>
        <w:rPr>
          <w:b/>
          <w:color w:val="FF0000"/>
          <w:sz w:val="40"/>
        </w:rPr>
        <w:t>Department</w:t>
      </w:r>
      <w:r>
        <w:rPr>
          <w:b/>
          <w:color w:val="FF0000"/>
          <w:spacing w:val="-4"/>
          <w:sz w:val="40"/>
        </w:rPr>
        <w:t> </w:t>
      </w:r>
      <w:r>
        <w:rPr>
          <w:b/>
          <w:color w:val="FF0000"/>
          <w:sz w:val="40"/>
        </w:rPr>
        <w:t>of</w:t>
      </w:r>
      <w:r>
        <w:rPr>
          <w:b/>
          <w:color w:val="FF0000"/>
          <w:spacing w:val="-1"/>
          <w:sz w:val="40"/>
        </w:rPr>
        <w:t> </w:t>
      </w:r>
      <w:r>
        <w:rPr>
          <w:b/>
          <w:color w:val="FF0000"/>
          <w:sz w:val="40"/>
        </w:rPr>
        <w:t>Justice</w:t>
      </w:r>
      <w:r>
        <w:rPr>
          <w:b/>
          <w:color w:val="FF0000"/>
          <w:spacing w:val="-1"/>
          <w:sz w:val="40"/>
        </w:rPr>
        <w:t> </w:t>
      </w:r>
      <w:r>
        <w:rPr>
          <w:b/>
          <w:color w:val="FF0000"/>
          <w:sz w:val="40"/>
        </w:rPr>
        <w:t>and</w:t>
      </w:r>
      <w:r>
        <w:rPr>
          <w:b/>
          <w:color w:val="FF0000"/>
          <w:spacing w:val="2"/>
          <w:sz w:val="40"/>
        </w:rPr>
        <w:t> </w:t>
      </w:r>
      <w:r>
        <w:rPr>
          <w:b/>
          <w:color w:val="FF0000"/>
          <w:sz w:val="40"/>
        </w:rPr>
        <w:t>Attorney-General</w:t>
      </w:r>
    </w:p>
    <w:p>
      <w:pPr>
        <w:pStyle w:val="BodyText"/>
        <w:rPr>
          <w:b/>
          <w:sz w:val="61"/>
        </w:rPr>
      </w:pPr>
    </w:p>
    <w:p>
      <w:pPr>
        <w:spacing w:before="1"/>
        <w:ind w:left="910" w:right="575" w:firstLine="0"/>
        <w:jc w:val="center"/>
        <w:rPr>
          <w:b/>
          <w:sz w:val="36"/>
        </w:rPr>
      </w:pPr>
      <w:r>
        <w:rPr>
          <w:b/>
          <w:sz w:val="36"/>
        </w:rPr>
        <w:t>February</w:t>
      </w:r>
      <w:r>
        <w:rPr>
          <w:b/>
          <w:spacing w:val="-9"/>
          <w:sz w:val="36"/>
        </w:rPr>
        <w:t> </w:t>
      </w:r>
      <w:r>
        <w:rPr>
          <w:b/>
          <w:sz w:val="36"/>
        </w:rPr>
        <w:t>2017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1"/>
        <w:rPr>
          <w:b/>
          <w:sz w:val="25"/>
        </w:rPr>
      </w:pPr>
    </w:p>
    <w:p>
      <w:pPr>
        <w:pStyle w:val="BodyText"/>
        <w:spacing w:line="20" w:lineRule="exact"/>
        <w:ind w:left="-820"/>
        <w:rPr>
          <w:sz w:val="2"/>
        </w:rPr>
      </w:pPr>
      <w:r>
        <w:rPr>
          <w:sz w:val="2"/>
        </w:rPr>
        <w:pict>
          <v:group style="width:8.5pt;height:.9pt;mso-position-horizontal-relative:char;mso-position-vertical-relative:line" id="docshapegroup9" coordorigin="0,0" coordsize="170,18">
            <v:shape style="position:absolute;left:0;top:0;width:170;height:18" id="docshape10" coordorigin="0,0" coordsize="170,18" path="m152,0l0,0,0,18,153,18,159,17,167,15,169,12,169,7,156,0,152,0xe" filled="true" fillcolor="#c0c0c0" stroked="false">
              <v:path arrowok="t"/>
              <v:fill type="solid"/>
            </v:shape>
          </v:group>
        </w:pict>
      </w:r>
      <w:r>
        <w:rPr>
          <w:sz w:val="2"/>
        </w:rPr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4"/>
        <w:rPr>
          <w:b/>
        </w:rPr>
      </w:pPr>
    </w:p>
    <w:p>
      <w:pPr>
        <w:spacing w:before="0"/>
        <w:ind w:left="104" w:right="0" w:firstLine="0"/>
        <w:jc w:val="left"/>
        <w:rPr>
          <w:b/>
          <w:sz w:val="20"/>
        </w:rPr>
      </w:pPr>
      <w:r>
        <w:rPr/>
        <w:pict>
          <v:group style="position:absolute;margin-left:34.75pt;margin-top:13.154882pt;width:510.25pt;height:46.65pt;mso-position-horizontal-relative:page;mso-position-vertical-relative:paragraph;z-index:15731712" id="docshapegroup11" coordorigin="695,263" coordsize="10205,933">
            <v:rect style="position:absolute;left:695;top:263;width:10205;height:933" id="docshape12" filled="true" fillcolor="#ff0000" stroked="false">
              <v:fill type="solid"/>
            </v:rect>
            <v:shape style="position:absolute;left:695;top:263;width:10205;height:933" type="#_x0000_t202" id="docshape13" filled="false" stroked="false">
              <v:textbox inset="0,0,0,0">
                <w:txbxContent>
                  <w:p>
                    <w:pPr>
                      <w:spacing w:before="111"/>
                      <w:ind w:left="553" w:right="575" w:firstLine="0"/>
                      <w:jc w:val="center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color w:val="FFFFFF"/>
                        <w:sz w:val="18"/>
                      </w:rPr>
                      <w:t>2nd</w:t>
                    </w:r>
                    <w:r>
                      <w:rPr>
                        <w:b/>
                        <w:color w:val="FFFFFF"/>
                        <w:spacing w:val="-4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Floor,</w:t>
                    </w:r>
                    <w:r>
                      <w:rPr>
                        <w:b/>
                        <w:color w:val="FFFFFF"/>
                        <w:spacing w:val="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South</w:t>
                    </w:r>
                    <w:r>
                      <w:rPr>
                        <w:b/>
                        <w:color w:val="FFFFFF"/>
                        <w:spacing w:val="-3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Central,</w:t>
                    </w:r>
                    <w:r>
                      <w:rPr>
                        <w:b/>
                        <w:color w:val="FFFFFF"/>
                        <w:spacing w:val="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43</w:t>
                    </w:r>
                    <w:r>
                      <w:rPr>
                        <w:b/>
                        <w:color w:val="FFFFFF"/>
                        <w:spacing w:val="-2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Peel</w:t>
                    </w:r>
                    <w:r>
                      <w:rPr>
                        <w:b/>
                        <w:color w:val="FFFFFF"/>
                        <w:spacing w:val="-3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Street,</w:t>
                    </w:r>
                    <w:r>
                      <w:rPr>
                        <w:b/>
                        <w:color w:val="FFFFFF"/>
                        <w:spacing w:val="-3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STH</w:t>
                    </w:r>
                    <w:r>
                      <w:rPr>
                        <w:b/>
                        <w:color w:val="FFFFFF"/>
                        <w:spacing w:val="-3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BRISBANE</w:t>
                    </w:r>
                    <w:r>
                      <w:rPr>
                        <w:b/>
                        <w:color w:val="FFFFFF"/>
                        <w:spacing w:val="-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QLD</w:t>
                    </w:r>
                    <w:r>
                      <w:rPr>
                        <w:b/>
                        <w:color w:val="FFFFFF"/>
                        <w:spacing w:val="-4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4101</w:t>
                    </w:r>
                  </w:p>
                  <w:p>
                    <w:pPr>
                      <w:spacing w:before="64"/>
                      <w:ind w:left="561" w:right="575" w:firstLine="0"/>
                      <w:jc w:val="center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FFFFFF"/>
                        <w:sz w:val="16"/>
                      </w:rPr>
                      <w:t>QAI</w:t>
                    </w:r>
                    <w:r>
                      <w:rPr>
                        <w:b/>
                        <w:color w:val="FFFFFF"/>
                        <w:spacing w:val="-7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endorses the</w:t>
                    </w:r>
                    <w:r>
                      <w:rPr>
                        <w:b/>
                        <w:color w:val="FFFFFF"/>
                        <w:spacing w:val="1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objectives,</w:t>
                    </w:r>
                    <w:r>
                      <w:rPr>
                        <w:b/>
                        <w:color w:val="FFFFFF"/>
                        <w:spacing w:val="-3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and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promotes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the</w:t>
                    </w:r>
                    <w:r>
                      <w:rPr>
                        <w:b/>
                        <w:color w:val="FFFFFF"/>
                        <w:spacing w:val="-3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principles,</w:t>
                    </w:r>
                    <w:r>
                      <w:rPr>
                        <w:b/>
                        <w:color w:val="FFFFFF"/>
                        <w:spacing w:val="1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of</w:t>
                    </w:r>
                    <w:r>
                      <w:rPr>
                        <w:b/>
                        <w:color w:val="FFFFFF"/>
                        <w:spacing w:val="-4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the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Convention</w:t>
                    </w:r>
                    <w:r>
                      <w:rPr>
                        <w:b/>
                        <w:color w:val="FFFFFF"/>
                        <w:spacing w:val="-5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on</w:t>
                    </w:r>
                    <w:r>
                      <w:rPr>
                        <w:b/>
                        <w:color w:val="FFFFFF"/>
                        <w:spacing w:val="-5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the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Rights</w:t>
                    </w:r>
                    <w:r>
                      <w:rPr>
                        <w:b/>
                        <w:color w:val="FFFFFF"/>
                        <w:spacing w:val="-3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of</w:t>
                    </w:r>
                    <w:r>
                      <w:rPr>
                        <w:b/>
                        <w:color w:val="FFFFFF"/>
                        <w:spacing w:val="-3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Persons</w:t>
                    </w:r>
                    <w:r>
                      <w:rPr>
                        <w:b/>
                        <w:color w:val="FFFFFF"/>
                        <w:spacing w:val="-3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with</w:t>
                    </w:r>
                    <w:r>
                      <w:rPr>
                        <w:b/>
                        <w:color w:val="FFFFFF"/>
                        <w:spacing w:val="1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Disabilities.</w:t>
                    </w:r>
                  </w:p>
                  <w:p>
                    <w:pPr>
                      <w:spacing w:before="60"/>
                      <w:ind w:left="561" w:right="566" w:firstLine="0"/>
                      <w:jc w:val="center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FFFFFF"/>
                        <w:sz w:val="16"/>
                      </w:rPr>
                      <w:t>Patron:</w:t>
                    </w:r>
                    <w:r>
                      <w:rPr>
                        <w:b/>
                        <w:color w:val="FFFFFF"/>
                        <w:spacing w:val="40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His</w:t>
                    </w:r>
                    <w:r>
                      <w:rPr>
                        <w:b/>
                        <w:color w:val="FFFFFF"/>
                        <w:spacing w:val="-4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Excellency The</w:t>
                    </w:r>
                    <w:r>
                      <w:rPr>
                        <w:b/>
                        <w:color w:val="FFFFFF"/>
                        <w:spacing w:val="-3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Honorable</w:t>
                    </w:r>
                    <w:r>
                      <w:rPr>
                        <w:b/>
                        <w:color w:val="FFFFFF"/>
                        <w:spacing w:val="-3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Paul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de</w:t>
                    </w:r>
                    <w:r>
                      <w:rPr>
                        <w:b/>
                        <w:color w:val="FFFFFF"/>
                        <w:spacing w:val="-3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Jersey AC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b/>
          <w:color w:val="FF0000"/>
          <w:sz w:val="20"/>
        </w:rPr>
        <w:t>Ph</w:t>
      </w:r>
      <w:r>
        <w:rPr>
          <w:b/>
          <w:sz w:val="20"/>
        </w:rPr>
        <w:t>: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(07)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3844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4200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or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1300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130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582</w:t>
      </w:r>
      <w:r>
        <w:rPr>
          <w:b/>
          <w:spacing w:val="1"/>
          <w:sz w:val="20"/>
        </w:rPr>
        <w:t> </w:t>
      </w:r>
      <w:r>
        <w:rPr>
          <w:b/>
          <w:color w:val="FF0000"/>
          <w:sz w:val="20"/>
        </w:rPr>
        <w:t>Fax:</w:t>
      </w:r>
      <w:r>
        <w:rPr>
          <w:b/>
          <w:color w:val="FF0000"/>
          <w:spacing w:val="-4"/>
          <w:sz w:val="20"/>
        </w:rPr>
        <w:t> </w:t>
      </w:r>
      <w:r>
        <w:rPr>
          <w:b/>
          <w:sz w:val="20"/>
        </w:rPr>
        <w:t>(07)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3844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4220</w:t>
      </w:r>
      <w:r>
        <w:rPr>
          <w:b/>
          <w:spacing w:val="1"/>
          <w:sz w:val="20"/>
        </w:rPr>
        <w:t> </w:t>
      </w:r>
      <w:r>
        <w:rPr>
          <w:b/>
          <w:color w:val="FF0000"/>
          <w:sz w:val="20"/>
        </w:rPr>
        <w:t>Email:</w:t>
      </w:r>
      <w:r>
        <w:rPr>
          <w:b/>
          <w:color w:val="FF0000"/>
          <w:spacing w:val="-4"/>
          <w:sz w:val="20"/>
        </w:rPr>
        <w:t> </w:t>
      </w:r>
      <w:hyperlink r:id="rId6">
        <w:r>
          <w:rPr>
            <w:b/>
            <w:sz w:val="20"/>
          </w:rPr>
          <w:t>qai@qai.org.au</w:t>
        </w:r>
        <w:r>
          <w:rPr>
            <w:b/>
            <w:spacing w:val="-2"/>
            <w:sz w:val="20"/>
          </w:rPr>
          <w:t> </w:t>
        </w:r>
      </w:hyperlink>
      <w:r>
        <w:rPr>
          <w:b/>
          <w:color w:val="FF0000"/>
          <w:sz w:val="20"/>
        </w:rPr>
        <w:t>Website:</w:t>
      </w:r>
      <w:r>
        <w:rPr>
          <w:b/>
          <w:color w:val="FF0000"/>
          <w:spacing w:val="1"/>
          <w:sz w:val="20"/>
        </w:rPr>
        <w:t> </w:t>
      </w:r>
      <w:hyperlink r:id="rId7">
        <w:r>
          <w:rPr>
            <w:b/>
            <w:sz w:val="20"/>
          </w:rPr>
          <w:t>www.qai.org.au</w:t>
        </w:r>
      </w:hyperlink>
    </w:p>
    <w:p>
      <w:pPr>
        <w:spacing w:after="0"/>
        <w:jc w:val="left"/>
        <w:rPr>
          <w:sz w:val="20"/>
        </w:rPr>
        <w:sectPr>
          <w:type w:val="continuous"/>
          <w:pgSz w:w="11910" w:h="16840"/>
          <w:pgMar w:top="220" w:bottom="0" w:left="820" w:right="1160"/>
        </w:sectPr>
      </w:pPr>
    </w:p>
    <w:p>
      <w:pPr>
        <w:pStyle w:val="Heading2"/>
      </w:pPr>
      <w:r>
        <w:rPr>
          <w:color w:val="365F91"/>
        </w:rPr>
        <w:t>About</w:t>
      </w:r>
      <w:r>
        <w:rPr>
          <w:color w:val="365F91"/>
          <w:spacing w:val="-5"/>
        </w:rPr>
        <w:t> </w:t>
      </w:r>
      <w:r>
        <w:rPr>
          <w:color w:val="365F91"/>
        </w:rPr>
        <w:t>Queensland</w:t>
      </w:r>
      <w:r>
        <w:rPr>
          <w:color w:val="365F91"/>
          <w:spacing w:val="-3"/>
        </w:rPr>
        <w:t> </w:t>
      </w:r>
      <w:r>
        <w:rPr>
          <w:color w:val="365F91"/>
        </w:rPr>
        <w:t>Advocacy</w:t>
      </w:r>
      <w:r>
        <w:rPr>
          <w:color w:val="365F91"/>
          <w:spacing w:val="-7"/>
        </w:rPr>
        <w:t> </w:t>
      </w:r>
      <w:r>
        <w:rPr>
          <w:color w:val="365F91"/>
        </w:rPr>
        <w:t>Incorporated</w:t>
      </w:r>
    </w:p>
    <w:p>
      <w:pPr>
        <w:pStyle w:val="BodyText"/>
        <w:spacing w:before="122"/>
        <w:ind w:left="620" w:right="274"/>
        <w:jc w:val="both"/>
      </w:pPr>
      <w:r>
        <w:rPr/>
        <w:t>Queensland</w:t>
      </w:r>
      <w:r>
        <w:rPr>
          <w:spacing w:val="1"/>
        </w:rPr>
        <w:t> </w:t>
      </w:r>
      <w:r>
        <w:rPr/>
        <w:t>Advocacy Incorporated</w:t>
      </w:r>
      <w:r>
        <w:rPr>
          <w:spacing w:val="1"/>
        </w:rPr>
        <w:t> </w:t>
      </w:r>
      <w:r>
        <w:rPr/>
        <w:t>(QAI)</w:t>
      </w:r>
      <w:r>
        <w:rPr>
          <w:spacing w:val="1"/>
        </w:rPr>
        <w:t> </w:t>
      </w:r>
      <w:r>
        <w:rPr/>
        <w:t>is</w:t>
      </w:r>
      <w:r>
        <w:rPr>
          <w:spacing w:val="1"/>
        </w:rPr>
        <w:t> </w:t>
      </w:r>
      <w:r>
        <w:rPr/>
        <w:t>an</w:t>
      </w:r>
      <w:r>
        <w:rPr>
          <w:spacing w:val="1"/>
        </w:rPr>
        <w:t> </w:t>
      </w:r>
      <w:r>
        <w:rPr/>
        <w:t>independent, community-based</w:t>
      </w:r>
      <w:r>
        <w:rPr>
          <w:spacing w:val="61"/>
        </w:rPr>
        <w:t> </w:t>
      </w:r>
      <w:r>
        <w:rPr/>
        <w:t>systems</w:t>
      </w:r>
      <w:r>
        <w:rPr>
          <w:spacing w:val="-59"/>
        </w:rPr>
        <w:t> </w:t>
      </w:r>
      <w:r>
        <w:rPr/>
        <w:t>and</w:t>
      </w:r>
      <w:r>
        <w:rPr>
          <w:spacing w:val="1"/>
        </w:rPr>
        <w:t> </w:t>
      </w:r>
      <w:r>
        <w:rPr/>
        <w:t>individual</w:t>
      </w:r>
      <w:r>
        <w:rPr>
          <w:spacing w:val="1"/>
        </w:rPr>
        <w:t> </w:t>
      </w:r>
      <w:r>
        <w:rPr/>
        <w:t>advocacy</w:t>
      </w:r>
      <w:r>
        <w:rPr>
          <w:spacing w:val="1"/>
        </w:rPr>
        <w:t> </w:t>
      </w:r>
      <w:r>
        <w:rPr/>
        <w:t>organisation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community</w:t>
      </w:r>
      <w:r>
        <w:rPr>
          <w:spacing w:val="1"/>
        </w:rPr>
        <w:t> </w:t>
      </w:r>
      <w:r>
        <w:rPr/>
        <w:t>legal</w:t>
      </w:r>
      <w:r>
        <w:rPr>
          <w:spacing w:val="1"/>
        </w:rPr>
        <w:t> </w:t>
      </w:r>
      <w:r>
        <w:rPr/>
        <w:t>service</w:t>
      </w:r>
      <w:r>
        <w:rPr>
          <w:spacing w:val="1"/>
        </w:rPr>
        <w:t> </w:t>
      </w:r>
      <w:r>
        <w:rPr/>
        <w:t>for</w:t>
      </w:r>
      <w:r>
        <w:rPr>
          <w:spacing w:val="1"/>
        </w:rPr>
        <w:t> </w:t>
      </w:r>
      <w:r>
        <w:rPr/>
        <w:t>people</w:t>
      </w:r>
      <w:r>
        <w:rPr>
          <w:spacing w:val="61"/>
        </w:rPr>
        <w:t> </w:t>
      </w:r>
      <w:r>
        <w:rPr/>
        <w:t>with</w:t>
      </w:r>
      <w:r>
        <w:rPr>
          <w:spacing w:val="1"/>
        </w:rPr>
        <w:t> </w:t>
      </w:r>
      <w:r>
        <w:rPr/>
        <w:t>disability.</w:t>
      </w:r>
      <w:r>
        <w:rPr>
          <w:spacing w:val="1"/>
        </w:rPr>
        <w:t> </w:t>
      </w:r>
      <w:r>
        <w:rPr/>
        <w:t>Our mission is to promote, protect and defend, through systems and individual</w:t>
      </w:r>
      <w:r>
        <w:rPr>
          <w:spacing w:val="1"/>
        </w:rPr>
        <w:t> </w:t>
      </w:r>
      <w:r>
        <w:rPr/>
        <w:t>advocacy, the fundamental needs and rights and lives of the most vulnerable people with</w:t>
      </w:r>
      <w:r>
        <w:rPr>
          <w:spacing w:val="1"/>
        </w:rPr>
        <w:t> </w:t>
      </w:r>
      <w:r>
        <w:rPr/>
        <w:t>disability</w:t>
      </w:r>
      <w:r>
        <w:rPr>
          <w:spacing w:val="-1"/>
        </w:rPr>
        <w:t> </w:t>
      </w:r>
      <w:r>
        <w:rPr/>
        <w:t>in Queensland.</w:t>
      </w:r>
    </w:p>
    <w:p>
      <w:pPr>
        <w:pStyle w:val="BodyText"/>
        <w:spacing w:before="119"/>
        <w:ind w:left="620" w:right="281"/>
        <w:jc w:val="both"/>
      </w:pPr>
      <w:r>
        <w:rPr/>
        <w:t>QAI</w:t>
      </w:r>
      <w:r>
        <w:rPr>
          <w:spacing w:val="1"/>
        </w:rPr>
        <w:t> </w:t>
      </w:r>
      <w:r>
        <w:rPr/>
        <w:t>does</w:t>
      </w:r>
      <w:r>
        <w:rPr>
          <w:spacing w:val="1"/>
        </w:rPr>
        <w:t> </w:t>
      </w:r>
      <w:r>
        <w:rPr/>
        <w:t>this</w:t>
      </w:r>
      <w:r>
        <w:rPr>
          <w:spacing w:val="1"/>
        </w:rPr>
        <w:t> </w:t>
      </w:r>
      <w:r>
        <w:rPr/>
        <w:t>by</w:t>
      </w:r>
      <w:r>
        <w:rPr>
          <w:spacing w:val="1"/>
        </w:rPr>
        <w:t> </w:t>
      </w:r>
      <w:r>
        <w:rPr/>
        <w:t>engaging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systems</w:t>
      </w:r>
      <w:r>
        <w:rPr>
          <w:spacing w:val="1"/>
        </w:rPr>
        <w:t> </w:t>
      </w:r>
      <w:r>
        <w:rPr/>
        <w:t>advocacy</w:t>
      </w:r>
      <w:r>
        <w:rPr>
          <w:spacing w:val="1"/>
        </w:rPr>
        <w:t> </w:t>
      </w:r>
      <w:r>
        <w:rPr/>
        <w:t>work,</w:t>
      </w:r>
      <w:r>
        <w:rPr>
          <w:spacing w:val="1"/>
        </w:rPr>
        <w:t> </w:t>
      </w:r>
      <w:r>
        <w:rPr/>
        <w:t>through campaigns</w:t>
      </w:r>
      <w:r>
        <w:rPr>
          <w:spacing w:val="1"/>
        </w:rPr>
        <w:t> </w:t>
      </w:r>
      <w:r>
        <w:rPr/>
        <w:t>directed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attitudinal,</w:t>
      </w:r>
      <w:r>
        <w:rPr>
          <w:spacing w:val="1"/>
        </w:rPr>
        <w:t> </w:t>
      </w:r>
      <w:r>
        <w:rPr/>
        <w:t>law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policy</w:t>
      </w:r>
      <w:r>
        <w:rPr>
          <w:spacing w:val="1"/>
        </w:rPr>
        <w:t> </w:t>
      </w:r>
      <w:r>
        <w:rPr/>
        <w:t>change,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by</w:t>
      </w:r>
      <w:r>
        <w:rPr>
          <w:spacing w:val="1"/>
        </w:rPr>
        <w:t> </w:t>
      </w:r>
      <w:r>
        <w:rPr/>
        <w:t>supporting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development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range</w:t>
      </w:r>
      <w:r>
        <w:rPr>
          <w:spacing w:val="61"/>
        </w:rPr>
        <w:t> </w:t>
      </w:r>
      <w:r>
        <w:rPr/>
        <w:t>of</w:t>
      </w:r>
      <w:r>
        <w:rPr>
          <w:spacing w:val="1"/>
        </w:rPr>
        <w:t> </w:t>
      </w:r>
      <w:r>
        <w:rPr/>
        <w:t>advocacy</w:t>
      </w:r>
      <w:r>
        <w:rPr>
          <w:spacing w:val="-5"/>
        </w:rPr>
        <w:t> </w:t>
      </w:r>
      <w:r>
        <w:rPr/>
        <w:t>initiatives in this state.</w:t>
      </w:r>
    </w:p>
    <w:p>
      <w:pPr>
        <w:pStyle w:val="BodyText"/>
        <w:spacing w:before="122"/>
        <w:ind w:left="620" w:right="278"/>
        <w:jc w:val="both"/>
      </w:pPr>
      <w:r>
        <w:rPr/>
        <w:t>QAI also runs three individual advocacy services – the Human Rights Legal Service, the</w:t>
      </w:r>
      <w:r>
        <w:rPr>
          <w:spacing w:val="1"/>
        </w:rPr>
        <w:t> </w:t>
      </w:r>
      <w:r>
        <w:rPr/>
        <w:t>Mental Health Legal Service and the Justice Support Program. Our experiences in providing</w:t>
      </w:r>
      <w:r>
        <w:rPr>
          <w:spacing w:val="1"/>
        </w:rPr>
        <w:t> </w:t>
      </w:r>
      <w:r>
        <w:rPr/>
        <w:t>legal and advocacy services and support for individuals within these programs has provided</w:t>
      </w:r>
      <w:r>
        <w:rPr>
          <w:spacing w:val="1"/>
        </w:rPr>
        <w:t> </w:t>
      </w:r>
      <w:r>
        <w:rPr/>
        <w:t>us</w:t>
      </w:r>
      <w:r>
        <w:rPr>
          <w:spacing w:val="1"/>
        </w:rPr>
        <w:t> </w:t>
      </w:r>
      <w:r>
        <w:rPr/>
        <w:t>with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wealth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knowledge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understanding</w:t>
      </w:r>
      <w:r>
        <w:rPr>
          <w:spacing w:val="1"/>
        </w:rPr>
        <w:t> </w:t>
      </w:r>
      <w:r>
        <w:rPr/>
        <w:t>about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experiences,</w:t>
      </w:r>
      <w:r>
        <w:rPr>
          <w:spacing w:val="1"/>
        </w:rPr>
        <w:t> </w:t>
      </w:r>
      <w:r>
        <w:rPr/>
        <w:t>needs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concerns</w:t>
      </w:r>
      <w:r>
        <w:rPr>
          <w:spacing w:val="-1"/>
        </w:rPr>
        <w:t> </w:t>
      </w:r>
      <w:r>
        <w:rPr/>
        <w:t>of</w:t>
      </w:r>
      <w:r>
        <w:rPr>
          <w:spacing w:val="-3"/>
        </w:rPr>
        <w:t> </w:t>
      </w:r>
      <w:r>
        <w:rPr/>
        <w:t>individuals</w:t>
      </w:r>
      <w:r>
        <w:rPr>
          <w:spacing w:val="2"/>
        </w:rPr>
        <w:t> </w:t>
      </w:r>
      <w:r>
        <w:rPr/>
        <w:t>who</w:t>
      </w:r>
      <w:r>
        <w:rPr>
          <w:spacing w:val="1"/>
        </w:rPr>
        <w:t> </w:t>
      </w:r>
      <w:r>
        <w:rPr/>
        <w:t>are</w:t>
      </w:r>
      <w:r>
        <w:rPr>
          <w:spacing w:val="-1"/>
        </w:rPr>
        <w:t> </w:t>
      </w:r>
      <w:r>
        <w:rPr/>
        <w:t>the focus</w:t>
      </w:r>
      <w:r>
        <w:rPr>
          <w:spacing w:val="-3"/>
        </w:rPr>
        <w:t> </w:t>
      </w:r>
      <w:r>
        <w:rPr/>
        <w:t>of</w:t>
      </w:r>
      <w:r>
        <w:rPr>
          <w:spacing w:val="-4"/>
        </w:rPr>
        <w:t> </w:t>
      </w:r>
      <w:r>
        <w:rPr/>
        <w:t>this</w:t>
      </w:r>
      <w:r>
        <w:rPr>
          <w:spacing w:val="4"/>
        </w:rPr>
        <w:t> </w:t>
      </w:r>
      <w:r>
        <w:rPr/>
        <w:t>inquiry.</w:t>
      </w:r>
    </w:p>
    <w:p>
      <w:pPr>
        <w:pStyle w:val="BodyText"/>
        <w:spacing w:before="119"/>
        <w:ind w:left="620" w:right="273"/>
        <w:jc w:val="both"/>
      </w:pPr>
      <w:r>
        <w:rPr/>
        <w:t>At the outset, QAI makes the important point that there should never, in this legislation or</w:t>
      </w:r>
      <w:r>
        <w:rPr>
          <w:spacing w:val="1"/>
        </w:rPr>
        <w:t> </w:t>
      </w:r>
      <w:r>
        <w:rPr/>
        <w:t>elsewhere, be a presumption or a decision that a person has no capacity.</w:t>
      </w:r>
      <w:r>
        <w:rPr>
          <w:spacing w:val="1"/>
        </w:rPr>
        <w:t> </w:t>
      </w:r>
      <w:r>
        <w:rPr/>
        <w:t>All people have</w:t>
      </w:r>
      <w:r>
        <w:rPr>
          <w:spacing w:val="1"/>
        </w:rPr>
        <w:t> </w:t>
      </w:r>
      <w:r>
        <w:rPr/>
        <w:t>some capacity at some times for some decisions and can be supported to make some of</w:t>
      </w:r>
      <w:r>
        <w:rPr>
          <w:spacing w:val="1"/>
        </w:rPr>
        <w:t> </w:t>
      </w:r>
      <w:r>
        <w:rPr/>
        <w:t>them.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their</w:t>
      </w:r>
      <w:r>
        <w:rPr>
          <w:spacing w:val="1"/>
        </w:rPr>
        <w:t> </w:t>
      </w:r>
      <w:r>
        <w:rPr/>
        <w:t>paper,</w:t>
      </w:r>
      <w:r>
        <w:rPr>
          <w:spacing w:val="1"/>
        </w:rPr>
        <w:t> </w:t>
      </w:r>
      <w:r>
        <w:rPr/>
        <w:t>‘Equality,</w:t>
      </w:r>
      <w:r>
        <w:rPr>
          <w:spacing w:val="1"/>
        </w:rPr>
        <w:t> </w:t>
      </w:r>
      <w:r>
        <w:rPr/>
        <w:t>Capacity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Disability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Commonwealth</w:t>
      </w:r>
      <w:r>
        <w:rPr>
          <w:spacing w:val="1"/>
        </w:rPr>
        <w:t> </w:t>
      </w:r>
      <w:r>
        <w:rPr/>
        <w:t>Laws’,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Australian</w:t>
      </w:r>
      <w:r>
        <w:rPr>
          <w:spacing w:val="1"/>
        </w:rPr>
        <w:t> </w:t>
      </w:r>
      <w:r>
        <w:rPr/>
        <w:t>Law</w:t>
      </w:r>
      <w:r>
        <w:rPr>
          <w:spacing w:val="1"/>
        </w:rPr>
        <w:t> </w:t>
      </w:r>
      <w:r>
        <w:rPr/>
        <w:t>Reform</w:t>
      </w:r>
      <w:r>
        <w:rPr>
          <w:spacing w:val="1"/>
        </w:rPr>
        <w:t> </w:t>
      </w:r>
      <w:r>
        <w:rPr/>
        <w:t>Commission</w:t>
      </w:r>
      <w:r>
        <w:rPr>
          <w:spacing w:val="1"/>
        </w:rPr>
        <w:t> </w:t>
      </w:r>
      <w:r>
        <w:rPr/>
        <w:t>referenced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submission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Mental</w:t>
      </w:r>
      <w:r>
        <w:rPr>
          <w:spacing w:val="1"/>
        </w:rPr>
        <w:t> </w:t>
      </w:r>
      <w:r>
        <w:rPr/>
        <w:t>Health</w:t>
      </w:r>
      <w:r>
        <w:rPr>
          <w:spacing w:val="1"/>
        </w:rPr>
        <w:t> </w:t>
      </w:r>
      <w:r>
        <w:rPr/>
        <w:t>Coordinating</w:t>
      </w:r>
      <w:r>
        <w:rPr>
          <w:spacing w:val="-1"/>
        </w:rPr>
        <w:t> </w:t>
      </w:r>
      <w:r>
        <w:rPr/>
        <w:t>Council</w:t>
      </w:r>
      <w:r>
        <w:rPr>
          <w:spacing w:val="-3"/>
        </w:rPr>
        <w:t> </w:t>
      </w:r>
      <w:r>
        <w:rPr/>
        <w:t>which noted:</w:t>
      </w:r>
    </w:p>
    <w:p>
      <w:pPr>
        <w:spacing w:line="240" w:lineRule="auto" w:before="118"/>
        <w:ind w:left="1340" w:right="281" w:firstLine="0"/>
        <w:jc w:val="both"/>
        <w:rPr>
          <w:i/>
          <w:sz w:val="22"/>
        </w:rPr>
      </w:pPr>
      <w:r>
        <w:rPr>
          <w:i/>
          <w:sz w:val="22"/>
        </w:rPr>
        <w:t>The role of family members and carers should be recognised in Commonwealth laws.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The supporting policy frameworks must reflect that those assessing capacity and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supporting decision-making must listen to, learn from and act upon communications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from the individual and their carers about what is important to each individual. This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involves acknowledging each individual is an expert on their own life and that their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‘recovery’ and care involves working in partnership with individuals and their carers to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provide support in a way that makes sense to them and that assists them realise their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own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hopes,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goals and aspirations.</w:t>
      </w:r>
    </w:p>
    <w:p>
      <w:pPr>
        <w:pStyle w:val="BodyText"/>
        <w:spacing w:before="125"/>
        <w:ind w:left="620" w:right="281"/>
        <w:jc w:val="both"/>
      </w:pPr>
      <w:r>
        <w:rPr/>
        <w:t>QAI affirms these sentiments and submits that this approach should inform the current</w:t>
      </w:r>
      <w:r>
        <w:rPr>
          <w:spacing w:val="1"/>
        </w:rPr>
        <w:t> </w:t>
      </w:r>
      <w:r>
        <w:rPr/>
        <w:t>legislative</w:t>
      </w:r>
      <w:r>
        <w:rPr>
          <w:spacing w:val="-1"/>
        </w:rPr>
        <w:t> </w:t>
      </w:r>
      <w:r>
        <w:rPr/>
        <w:t>review.</w:t>
      </w:r>
    </w:p>
    <w:p>
      <w:pPr>
        <w:pStyle w:val="BodyText"/>
        <w:spacing w:before="119"/>
        <w:ind w:left="620" w:right="280"/>
        <w:jc w:val="both"/>
      </w:pPr>
      <w:r>
        <w:rPr/>
        <w:t>A second important issue we wish to raise from the outset is that, for the purposes of this</w:t>
      </w:r>
      <w:r>
        <w:rPr>
          <w:spacing w:val="1"/>
        </w:rPr>
        <w:t> </w:t>
      </w:r>
      <w:r>
        <w:rPr/>
        <w:t>review and indeed for all purposes, a reference to ‘carers’ must be a reference to the family,</w:t>
      </w:r>
      <w:r>
        <w:rPr>
          <w:spacing w:val="1"/>
        </w:rPr>
        <w:t> </w:t>
      </w:r>
      <w:r>
        <w:rPr/>
        <w:t>friendship and informal relationship arrangements a person with disability may have, not to</w:t>
      </w:r>
      <w:r>
        <w:rPr>
          <w:spacing w:val="1"/>
        </w:rPr>
        <w:t> </w:t>
      </w:r>
      <w:r>
        <w:rPr/>
        <w:t>paid</w:t>
      </w:r>
      <w:r>
        <w:rPr>
          <w:spacing w:val="-1"/>
        </w:rPr>
        <w:t> </w:t>
      </w:r>
      <w:r>
        <w:rPr/>
        <w:t>support</w:t>
      </w:r>
      <w:r>
        <w:rPr>
          <w:spacing w:val="-4"/>
        </w:rPr>
        <w:t> </w:t>
      </w:r>
      <w:r>
        <w:rPr/>
        <w:t>workers.</w:t>
      </w:r>
      <w:r>
        <w:rPr>
          <w:spacing w:val="56"/>
        </w:rPr>
        <w:t> </w:t>
      </w:r>
      <w:r>
        <w:rPr/>
        <w:t>This</w:t>
      </w:r>
      <w:r>
        <w:rPr>
          <w:spacing w:val="4"/>
        </w:rPr>
        <w:t> </w:t>
      </w:r>
      <w:r>
        <w:rPr/>
        <w:t>important</w:t>
      </w:r>
      <w:r>
        <w:rPr>
          <w:spacing w:val="-4"/>
        </w:rPr>
        <w:t> </w:t>
      </w:r>
      <w:r>
        <w:rPr/>
        <w:t>distinction is</w:t>
      </w:r>
      <w:r>
        <w:rPr>
          <w:spacing w:val="-1"/>
        </w:rPr>
        <w:t> </w:t>
      </w:r>
      <w:r>
        <w:rPr/>
        <w:t>discussed</w:t>
      </w:r>
      <w:r>
        <w:rPr>
          <w:spacing w:val="-5"/>
        </w:rPr>
        <w:t> </w:t>
      </w:r>
      <w:r>
        <w:rPr/>
        <w:t>below.</w:t>
      </w:r>
    </w:p>
    <w:p>
      <w:pPr>
        <w:pStyle w:val="BodyText"/>
        <w:spacing w:before="119"/>
        <w:ind w:left="620" w:right="280"/>
        <w:jc w:val="both"/>
      </w:pPr>
      <w:r>
        <w:rPr/>
        <w:t>As a final initial point to note, QAI submits that that the legislation should clearly establish the</w:t>
      </w:r>
      <w:r>
        <w:rPr>
          <w:spacing w:val="-59"/>
        </w:rPr>
        <w:t> </w:t>
      </w:r>
      <w:r>
        <w:rPr/>
        <w:t>position that when applications for guardianship are made, there should be no presumption</w:t>
      </w:r>
      <w:r>
        <w:rPr>
          <w:spacing w:val="1"/>
        </w:rPr>
        <w:t> </w:t>
      </w:r>
      <w:r>
        <w:rPr/>
        <w:t>or entitlement for statutory bodies to be involved, unless the circumstances clearly warrant</w:t>
      </w:r>
      <w:r>
        <w:rPr>
          <w:spacing w:val="1"/>
        </w:rPr>
        <w:t> </w:t>
      </w:r>
      <w:r>
        <w:rPr/>
        <w:t>otherwise.</w:t>
      </w:r>
    </w:p>
    <w:p>
      <w:pPr>
        <w:pStyle w:val="Heading2"/>
        <w:spacing w:before="117"/>
      </w:pPr>
      <w:r>
        <w:rPr>
          <w:color w:val="365F91"/>
        </w:rPr>
        <w:t>QAI’s</w:t>
      </w:r>
      <w:r>
        <w:rPr>
          <w:color w:val="365F91"/>
          <w:spacing w:val="-5"/>
        </w:rPr>
        <w:t> </w:t>
      </w:r>
      <w:r>
        <w:rPr>
          <w:color w:val="365F91"/>
        </w:rPr>
        <w:t>Submissions</w:t>
      </w:r>
      <w:r>
        <w:rPr>
          <w:color w:val="365F91"/>
          <w:spacing w:val="-2"/>
        </w:rPr>
        <w:t> </w:t>
      </w:r>
      <w:r>
        <w:rPr>
          <w:color w:val="365F91"/>
        </w:rPr>
        <w:t>on</w:t>
      </w:r>
      <w:r>
        <w:rPr>
          <w:color w:val="365F91"/>
          <w:spacing w:val="-1"/>
        </w:rPr>
        <w:t> </w:t>
      </w:r>
      <w:r>
        <w:rPr>
          <w:color w:val="365F91"/>
        </w:rPr>
        <w:t>the</w:t>
      </w:r>
      <w:r>
        <w:rPr>
          <w:color w:val="365F91"/>
          <w:spacing w:val="1"/>
        </w:rPr>
        <w:t> </w:t>
      </w:r>
      <w:r>
        <w:rPr>
          <w:color w:val="365F91"/>
        </w:rPr>
        <w:t>Amendment</w:t>
      </w:r>
      <w:r>
        <w:rPr>
          <w:color w:val="365F91"/>
          <w:spacing w:val="-7"/>
        </w:rPr>
        <w:t> </w:t>
      </w:r>
      <w:r>
        <w:rPr>
          <w:color w:val="365F91"/>
        </w:rPr>
        <w:t>Bill</w:t>
      </w:r>
    </w:p>
    <w:p>
      <w:pPr>
        <w:spacing w:line="352" w:lineRule="auto" w:before="170"/>
        <w:ind w:left="620" w:right="1978" w:firstLine="0"/>
        <w:jc w:val="both"/>
        <w:rPr>
          <w:b/>
          <w:sz w:val="22"/>
        </w:rPr>
      </w:pPr>
      <w:r>
        <w:rPr>
          <w:b/>
          <w:color w:val="4F81BC"/>
          <w:sz w:val="22"/>
          <w:u w:val="single" w:color="4F81BC"/>
        </w:rPr>
        <w:t>Reforms</w:t>
      </w:r>
      <w:r>
        <w:rPr>
          <w:b/>
          <w:color w:val="4F81BC"/>
          <w:spacing w:val="-5"/>
          <w:sz w:val="22"/>
          <w:u w:val="single" w:color="4F81BC"/>
        </w:rPr>
        <w:t> </w:t>
      </w:r>
      <w:r>
        <w:rPr>
          <w:b/>
          <w:color w:val="4F81BC"/>
          <w:sz w:val="22"/>
          <w:u w:val="single" w:color="4F81BC"/>
        </w:rPr>
        <w:t>to</w:t>
      </w:r>
      <w:r>
        <w:rPr>
          <w:b/>
          <w:color w:val="4F81BC"/>
          <w:spacing w:val="-4"/>
          <w:sz w:val="22"/>
          <w:u w:val="single" w:color="4F81BC"/>
        </w:rPr>
        <w:t> </w:t>
      </w:r>
      <w:r>
        <w:rPr>
          <w:b/>
          <w:color w:val="4F81BC"/>
          <w:sz w:val="22"/>
          <w:u w:val="single" w:color="4F81BC"/>
        </w:rPr>
        <w:t>the</w:t>
      </w:r>
      <w:r>
        <w:rPr>
          <w:b/>
          <w:color w:val="4F81BC"/>
          <w:spacing w:val="-2"/>
          <w:sz w:val="22"/>
          <w:u w:val="single" w:color="4F81BC"/>
        </w:rPr>
        <w:t> </w:t>
      </w:r>
      <w:r>
        <w:rPr>
          <w:b/>
          <w:i/>
          <w:color w:val="4F81BC"/>
          <w:sz w:val="22"/>
          <w:u w:val="single" w:color="4F81BC"/>
        </w:rPr>
        <w:t>Guardianship</w:t>
      </w:r>
      <w:r>
        <w:rPr>
          <w:b/>
          <w:i/>
          <w:color w:val="4F81BC"/>
          <w:spacing w:val="-5"/>
          <w:sz w:val="22"/>
          <w:u w:val="single" w:color="4F81BC"/>
        </w:rPr>
        <w:t> </w:t>
      </w:r>
      <w:r>
        <w:rPr>
          <w:b/>
          <w:i/>
          <w:color w:val="4F81BC"/>
          <w:sz w:val="22"/>
          <w:u w:val="single" w:color="4F81BC"/>
        </w:rPr>
        <w:t>and</w:t>
      </w:r>
      <w:r>
        <w:rPr>
          <w:b/>
          <w:i/>
          <w:color w:val="4F81BC"/>
          <w:spacing w:val="-4"/>
          <w:sz w:val="22"/>
          <w:u w:val="single" w:color="4F81BC"/>
        </w:rPr>
        <w:t> </w:t>
      </w:r>
      <w:r>
        <w:rPr>
          <w:b/>
          <w:i/>
          <w:color w:val="4F81BC"/>
          <w:sz w:val="22"/>
          <w:u w:val="single" w:color="4F81BC"/>
        </w:rPr>
        <w:t>Administration</w:t>
      </w:r>
      <w:r>
        <w:rPr>
          <w:b/>
          <w:i/>
          <w:color w:val="4F81BC"/>
          <w:spacing w:val="-4"/>
          <w:sz w:val="22"/>
          <w:u w:val="single" w:color="4F81BC"/>
        </w:rPr>
        <w:t> </w:t>
      </w:r>
      <w:r>
        <w:rPr>
          <w:b/>
          <w:i/>
          <w:color w:val="4F81BC"/>
          <w:sz w:val="22"/>
          <w:u w:val="single" w:color="4F81BC"/>
        </w:rPr>
        <w:t>Act</w:t>
      </w:r>
      <w:r>
        <w:rPr>
          <w:b/>
          <w:i/>
          <w:color w:val="4F81BC"/>
          <w:spacing w:val="-7"/>
          <w:sz w:val="22"/>
          <w:u w:val="single" w:color="4F81BC"/>
        </w:rPr>
        <w:t> </w:t>
      </w:r>
      <w:r>
        <w:rPr>
          <w:b/>
          <w:i/>
          <w:color w:val="4F81BC"/>
          <w:sz w:val="22"/>
          <w:u w:val="single" w:color="4F81BC"/>
        </w:rPr>
        <w:t>2000</w:t>
      </w:r>
      <w:r>
        <w:rPr>
          <w:b/>
          <w:i/>
          <w:color w:val="4F81BC"/>
          <w:spacing w:val="1"/>
          <w:sz w:val="22"/>
          <w:u w:val="single" w:color="4F81BC"/>
        </w:rPr>
        <w:t> </w:t>
      </w:r>
      <w:r>
        <w:rPr>
          <w:b/>
          <w:color w:val="4F81BC"/>
          <w:sz w:val="22"/>
          <w:u w:val="single" w:color="4F81BC"/>
        </w:rPr>
        <w:t>(Qld)</w:t>
      </w:r>
      <w:r>
        <w:rPr>
          <w:b/>
          <w:color w:val="4F81BC"/>
          <w:spacing w:val="-7"/>
          <w:sz w:val="22"/>
          <w:u w:val="single" w:color="4F81BC"/>
        </w:rPr>
        <w:t> </w:t>
      </w:r>
      <w:r>
        <w:rPr>
          <w:b/>
          <w:color w:val="4F81BC"/>
          <w:sz w:val="22"/>
          <w:u w:val="single" w:color="4F81BC"/>
        </w:rPr>
        <w:t>(GAA)</w:t>
      </w:r>
      <w:r>
        <w:rPr>
          <w:b/>
          <w:color w:val="4F81BC"/>
          <w:spacing w:val="-58"/>
          <w:sz w:val="22"/>
        </w:rPr>
        <w:t> </w:t>
      </w:r>
      <w:r>
        <w:rPr>
          <w:b/>
          <w:color w:val="4F81BC"/>
          <w:sz w:val="22"/>
        </w:rPr>
        <w:t>Capacity</w:t>
      </w:r>
      <w:r>
        <w:rPr>
          <w:b/>
          <w:color w:val="4F81BC"/>
          <w:spacing w:val="-4"/>
          <w:sz w:val="22"/>
        </w:rPr>
        <w:t> </w:t>
      </w:r>
      <w:r>
        <w:rPr>
          <w:b/>
          <w:color w:val="4F81BC"/>
          <w:sz w:val="22"/>
        </w:rPr>
        <w:t>(Clause</w:t>
      </w:r>
      <w:r>
        <w:rPr>
          <w:b/>
          <w:color w:val="4F81BC"/>
          <w:spacing w:val="1"/>
          <w:sz w:val="22"/>
        </w:rPr>
        <w:t> </w:t>
      </w:r>
      <w:r>
        <w:rPr>
          <w:b/>
          <w:color w:val="4F81BC"/>
          <w:sz w:val="22"/>
        </w:rPr>
        <w:t>5)</w:t>
      </w:r>
    </w:p>
    <w:p>
      <w:pPr>
        <w:pStyle w:val="BodyText"/>
        <w:spacing w:before="4"/>
        <w:ind w:left="620" w:right="274"/>
        <w:jc w:val="both"/>
      </w:pPr>
      <w:r>
        <w:rPr/>
        <w:t>The Amendment Bill proposes to replace the current s 11 of the GAA with a new section</w:t>
      </w:r>
      <w:r>
        <w:rPr>
          <w:spacing w:val="1"/>
        </w:rPr>
        <w:t> </w:t>
      </w:r>
      <w:r>
        <w:rPr/>
        <w:t>which broadens the scope of the provision to include whenever a person or entity performs</w:t>
      </w:r>
      <w:r>
        <w:rPr>
          <w:spacing w:val="1"/>
        </w:rPr>
        <w:t> </w:t>
      </w:r>
      <w:r>
        <w:rPr/>
        <w:t>any function or exercises any power regardless of whether the adult has capacity, they must</w:t>
      </w:r>
      <w:r>
        <w:rPr>
          <w:spacing w:val="1"/>
        </w:rPr>
        <w:t> </w:t>
      </w:r>
      <w:r>
        <w:rPr/>
        <w:t>apply</w:t>
      </w:r>
      <w:r>
        <w:rPr>
          <w:spacing w:val="21"/>
        </w:rPr>
        <w:t> </w:t>
      </w:r>
      <w:r>
        <w:rPr/>
        <w:t>the</w:t>
      </w:r>
      <w:r>
        <w:rPr>
          <w:spacing w:val="25"/>
        </w:rPr>
        <w:t> </w:t>
      </w:r>
      <w:r>
        <w:rPr/>
        <w:t>General</w:t>
      </w:r>
      <w:r>
        <w:rPr>
          <w:spacing w:val="19"/>
        </w:rPr>
        <w:t> </w:t>
      </w:r>
      <w:r>
        <w:rPr/>
        <w:t>Principles,</w:t>
      </w:r>
      <w:r>
        <w:rPr>
          <w:spacing w:val="26"/>
        </w:rPr>
        <w:t> </w:t>
      </w:r>
      <w:r>
        <w:rPr/>
        <w:t>including</w:t>
      </w:r>
      <w:r>
        <w:rPr>
          <w:spacing w:val="25"/>
        </w:rPr>
        <w:t> </w:t>
      </w:r>
      <w:r>
        <w:rPr/>
        <w:t>the</w:t>
      </w:r>
      <w:r>
        <w:rPr>
          <w:spacing w:val="25"/>
        </w:rPr>
        <w:t> </w:t>
      </w:r>
      <w:r>
        <w:rPr/>
        <w:t>presumption</w:t>
      </w:r>
      <w:r>
        <w:rPr>
          <w:spacing w:val="25"/>
        </w:rPr>
        <w:t> </w:t>
      </w:r>
      <w:r>
        <w:rPr/>
        <w:t>of</w:t>
      </w:r>
      <w:r>
        <w:rPr>
          <w:spacing w:val="22"/>
        </w:rPr>
        <w:t> </w:t>
      </w:r>
      <w:r>
        <w:rPr/>
        <w:t>capacity.</w:t>
      </w:r>
      <w:r>
        <w:rPr>
          <w:spacing w:val="54"/>
        </w:rPr>
        <w:t> </w:t>
      </w:r>
      <w:r>
        <w:rPr/>
        <w:t>Previously</w:t>
      </w:r>
      <w:r>
        <w:rPr>
          <w:spacing w:val="21"/>
        </w:rPr>
        <w:t> </w:t>
      </w:r>
      <w:r>
        <w:rPr/>
        <w:t>the</w:t>
      </w:r>
    </w:p>
    <w:p>
      <w:pPr>
        <w:spacing w:after="0"/>
        <w:jc w:val="both"/>
        <w:sectPr>
          <w:footerReference w:type="default" r:id="rId8"/>
          <w:pgSz w:w="11910" w:h="16840"/>
          <w:pgMar w:footer="1907" w:header="0" w:top="1460" w:bottom="2100" w:left="820" w:right="1160"/>
          <w:pgNumType w:start="2"/>
        </w:sectPr>
      </w:pPr>
    </w:p>
    <w:p>
      <w:pPr>
        <w:pStyle w:val="BodyText"/>
        <w:spacing w:before="74"/>
        <w:ind w:left="620" w:right="281"/>
        <w:jc w:val="both"/>
      </w:pPr>
      <w:r>
        <w:rPr/>
        <w:t>application of the General Principles has been limited to functions or powers performed for a</w:t>
      </w:r>
      <w:r>
        <w:rPr>
          <w:spacing w:val="1"/>
        </w:rPr>
        <w:t> </w:t>
      </w:r>
      <w:r>
        <w:rPr/>
        <w:t>matter</w:t>
      </w:r>
      <w:r>
        <w:rPr>
          <w:spacing w:val="-4"/>
        </w:rPr>
        <w:t> </w:t>
      </w:r>
      <w:r>
        <w:rPr/>
        <w:t>relating to</w:t>
      </w:r>
      <w:r>
        <w:rPr>
          <w:spacing w:val="-1"/>
        </w:rPr>
        <w:t> </w:t>
      </w:r>
      <w:r>
        <w:rPr/>
        <w:t>an adult</w:t>
      </w:r>
      <w:r>
        <w:rPr>
          <w:spacing w:val="1"/>
        </w:rPr>
        <w:t> </w:t>
      </w:r>
      <w:r>
        <w:rPr/>
        <w:t>with</w:t>
      </w:r>
      <w:r>
        <w:rPr>
          <w:spacing w:val="3"/>
        </w:rPr>
        <w:t> </w:t>
      </w:r>
      <w:r>
        <w:rPr/>
        <w:t>impaired capacity.</w:t>
      </w:r>
    </w:p>
    <w:p>
      <w:pPr>
        <w:spacing w:line="242" w:lineRule="auto" w:before="114"/>
        <w:ind w:left="620" w:right="281" w:firstLine="0"/>
        <w:jc w:val="both"/>
        <w:rPr>
          <w:sz w:val="22"/>
        </w:rPr>
      </w:pPr>
      <w:r>
        <w:rPr>
          <w:b/>
          <w:sz w:val="22"/>
        </w:rPr>
        <w:t>QAI supports this extension of the scope of operation of the General Principles and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recommends that these principles, as core human rights principles, should not be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limited in their application.</w:t>
      </w:r>
      <w:r>
        <w:rPr>
          <w:b/>
          <w:spacing w:val="1"/>
          <w:sz w:val="22"/>
        </w:rPr>
        <w:t> </w:t>
      </w:r>
      <w:r>
        <w:rPr>
          <w:sz w:val="22"/>
        </w:rPr>
        <w:t>A similar broadening is afforded to the Health Care Principles,</w:t>
      </w:r>
      <w:r>
        <w:rPr>
          <w:spacing w:val="1"/>
          <w:sz w:val="22"/>
        </w:rPr>
        <w:t> </w:t>
      </w:r>
      <w:r>
        <w:rPr>
          <w:sz w:val="22"/>
        </w:rPr>
        <w:t>which</w:t>
      </w:r>
      <w:r>
        <w:rPr>
          <w:spacing w:val="-1"/>
          <w:sz w:val="22"/>
        </w:rPr>
        <w:t> </w:t>
      </w:r>
      <w:r>
        <w:rPr>
          <w:sz w:val="22"/>
        </w:rPr>
        <w:t>is</w:t>
      </w:r>
      <w:r>
        <w:rPr>
          <w:spacing w:val="1"/>
          <w:sz w:val="22"/>
        </w:rPr>
        <w:t> </w:t>
      </w:r>
      <w:r>
        <w:rPr>
          <w:sz w:val="22"/>
        </w:rPr>
        <w:t>consistent</w:t>
      </w:r>
      <w:r>
        <w:rPr>
          <w:spacing w:val="-3"/>
          <w:sz w:val="22"/>
        </w:rPr>
        <w:t> </w:t>
      </w:r>
      <w:r>
        <w:rPr>
          <w:sz w:val="22"/>
        </w:rPr>
        <w:t>with</w:t>
      </w:r>
      <w:r>
        <w:rPr>
          <w:spacing w:val="-1"/>
          <w:sz w:val="22"/>
        </w:rPr>
        <w:t> </w:t>
      </w:r>
      <w:r>
        <w:rPr>
          <w:sz w:val="22"/>
        </w:rPr>
        <w:t>the QLRC</w:t>
      </w:r>
      <w:r>
        <w:rPr>
          <w:spacing w:val="-1"/>
          <w:sz w:val="22"/>
        </w:rPr>
        <w:t> </w:t>
      </w:r>
      <w:r>
        <w:rPr>
          <w:sz w:val="22"/>
        </w:rPr>
        <w:t>recommendations.</w:t>
      </w:r>
    </w:p>
    <w:p>
      <w:pPr>
        <w:pStyle w:val="BodyText"/>
        <w:spacing w:before="114"/>
        <w:ind w:left="620" w:right="274"/>
        <w:jc w:val="both"/>
      </w:pPr>
      <w:r>
        <w:rPr/>
        <w:t>However, the proposed s 11(2) states that if the tribunal or the court has appointed a</w:t>
      </w:r>
      <w:r>
        <w:rPr>
          <w:spacing w:val="1"/>
        </w:rPr>
        <w:t> </w:t>
      </w:r>
      <w:r>
        <w:rPr/>
        <w:t>guardian or administrator for an adult for a matter, the guardian or administrator is not</w:t>
      </w:r>
      <w:r>
        <w:rPr>
          <w:spacing w:val="1"/>
        </w:rPr>
        <w:t> </w:t>
      </w:r>
      <w:r>
        <w:rPr/>
        <w:t>required to presume the adult has capacity for the matter.</w:t>
      </w:r>
      <w:r>
        <w:rPr>
          <w:spacing w:val="1"/>
        </w:rPr>
        <w:t> </w:t>
      </w:r>
      <w:r>
        <w:rPr/>
        <w:t>This suggests that the initial</w:t>
      </w:r>
      <w:r>
        <w:rPr>
          <w:spacing w:val="1"/>
        </w:rPr>
        <w:t> </w:t>
      </w:r>
      <w:r>
        <w:rPr/>
        <w:t>presumption will be of incapacity, rather than capacity, once a guardianship order has been</w:t>
      </w:r>
      <w:r>
        <w:rPr>
          <w:spacing w:val="1"/>
        </w:rPr>
        <w:t> </w:t>
      </w:r>
      <w:r>
        <w:rPr/>
        <w:t>made.</w:t>
      </w:r>
      <w:r>
        <w:rPr>
          <w:spacing w:val="1"/>
        </w:rPr>
        <w:t> </w:t>
      </w:r>
      <w:r>
        <w:rPr/>
        <w:t>QAI holds concerns about this section as it could potentially subject a person to an</w:t>
      </w:r>
      <w:r>
        <w:rPr>
          <w:spacing w:val="1"/>
        </w:rPr>
        <w:t> </w:t>
      </w:r>
      <w:r>
        <w:rPr/>
        <w:t>order that is not required, particularly in circumstances where they have limited support</w:t>
      </w:r>
      <w:r>
        <w:rPr>
          <w:spacing w:val="1"/>
        </w:rPr>
        <w:t> </w:t>
      </w:r>
      <w:r>
        <w:rPr/>
        <w:t>networks</w:t>
      </w:r>
      <w:r>
        <w:rPr>
          <w:spacing w:val="-1"/>
        </w:rPr>
        <w:t> </w:t>
      </w:r>
      <w:r>
        <w:rPr/>
        <w:t>to assist</w:t>
      </w:r>
      <w:r>
        <w:rPr>
          <w:spacing w:val="-3"/>
        </w:rPr>
        <w:t> </w:t>
      </w:r>
      <w:r>
        <w:rPr/>
        <w:t>them</w:t>
      </w:r>
      <w:r>
        <w:rPr>
          <w:spacing w:val="2"/>
        </w:rPr>
        <w:t> </w:t>
      </w:r>
      <w:r>
        <w:rPr/>
        <w:t>to advocate for</w:t>
      </w:r>
      <w:r>
        <w:rPr>
          <w:spacing w:val="-4"/>
        </w:rPr>
        <w:t> </w:t>
      </w:r>
      <w:r>
        <w:rPr/>
        <w:t>themselves.</w:t>
      </w:r>
    </w:p>
    <w:p>
      <w:pPr>
        <w:spacing w:line="240" w:lineRule="auto" w:before="118"/>
        <w:ind w:left="620" w:right="275" w:firstLine="0"/>
        <w:jc w:val="both"/>
        <w:rPr>
          <w:sz w:val="22"/>
        </w:rPr>
      </w:pPr>
      <w:r>
        <w:rPr>
          <w:b/>
          <w:sz w:val="22"/>
        </w:rPr>
        <w:t>QAI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submits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that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there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should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always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be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the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requirement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to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start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with</w:t>
      </w:r>
      <w:r>
        <w:rPr>
          <w:b/>
          <w:spacing w:val="61"/>
          <w:sz w:val="22"/>
        </w:rPr>
        <w:t> </w:t>
      </w:r>
      <w:r>
        <w:rPr>
          <w:b/>
          <w:sz w:val="22"/>
        </w:rPr>
        <w:t>the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presumption of capacity, irrespective of any order or decision </w:t>
      </w:r>
      <w:r>
        <w:rPr>
          <w:sz w:val="22"/>
        </w:rPr>
        <w:t>– as noted above, there</w:t>
      </w:r>
      <w:r>
        <w:rPr>
          <w:spacing w:val="1"/>
          <w:sz w:val="22"/>
        </w:rPr>
        <w:t> </w:t>
      </w:r>
      <w:r>
        <w:rPr>
          <w:sz w:val="22"/>
        </w:rPr>
        <w:t>should never be a presumption or a decision that someone lacks capacity.</w:t>
      </w:r>
      <w:r>
        <w:rPr>
          <w:spacing w:val="61"/>
          <w:sz w:val="22"/>
        </w:rPr>
        <w:t> </w:t>
      </w:r>
      <w:r>
        <w:rPr>
          <w:sz w:val="22"/>
        </w:rPr>
        <w:t>This is required</w:t>
      </w:r>
      <w:r>
        <w:rPr>
          <w:spacing w:val="1"/>
          <w:sz w:val="22"/>
        </w:rPr>
        <w:t> </w:t>
      </w:r>
      <w:r>
        <w:rPr>
          <w:sz w:val="22"/>
        </w:rPr>
        <w:t>by the United Nations Convention on the Rights of Persons with Disabilities (CRPD).</w:t>
      </w:r>
      <w:r>
        <w:rPr>
          <w:spacing w:val="61"/>
          <w:sz w:val="22"/>
        </w:rPr>
        <w:t> </w:t>
      </w:r>
      <w:r>
        <w:rPr>
          <w:sz w:val="22"/>
        </w:rPr>
        <w:t>It is</w:t>
      </w:r>
      <w:r>
        <w:rPr>
          <w:spacing w:val="1"/>
          <w:sz w:val="22"/>
        </w:rPr>
        <w:t> </w:t>
      </w:r>
      <w:r>
        <w:rPr>
          <w:sz w:val="22"/>
        </w:rPr>
        <w:t>also</w:t>
      </w:r>
      <w:r>
        <w:rPr>
          <w:spacing w:val="1"/>
          <w:sz w:val="22"/>
        </w:rPr>
        <w:t> </w:t>
      </w:r>
      <w:r>
        <w:rPr>
          <w:sz w:val="22"/>
        </w:rPr>
        <w:t>consistent</w:t>
      </w:r>
      <w:r>
        <w:rPr>
          <w:spacing w:val="1"/>
          <w:sz w:val="22"/>
        </w:rPr>
        <w:t> </w:t>
      </w:r>
      <w:r>
        <w:rPr>
          <w:sz w:val="22"/>
        </w:rPr>
        <w:t>with</w:t>
      </w:r>
      <w:r>
        <w:rPr>
          <w:spacing w:val="1"/>
          <w:sz w:val="22"/>
        </w:rPr>
        <w:t> </w:t>
      </w:r>
      <w:r>
        <w:rPr>
          <w:sz w:val="22"/>
        </w:rPr>
        <w:t>the</w:t>
      </w:r>
      <w:r>
        <w:rPr>
          <w:spacing w:val="1"/>
          <w:sz w:val="22"/>
        </w:rPr>
        <w:t> </w:t>
      </w:r>
      <w:r>
        <w:rPr>
          <w:sz w:val="22"/>
        </w:rPr>
        <w:t>recommendations</w:t>
      </w:r>
      <w:r>
        <w:rPr>
          <w:spacing w:val="1"/>
          <w:sz w:val="22"/>
        </w:rPr>
        <w:t> </w:t>
      </w:r>
      <w:r>
        <w:rPr>
          <w:sz w:val="22"/>
        </w:rPr>
        <w:t>of</w:t>
      </w:r>
      <w:r>
        <w:rPr>
          <w:spacing w:val="1"/>
          <w:sz w:val="22"/>
        </w:rPr>
        <w:t> </w:t>
      </w:r>
      <w:r>
        <w:rPr>
          <w:sz w:val="22"/>
        </w:rPr>
        <w:t>the</w:t>
      </w:r>
      <w:r>
        <w:rPr>
          <w:spacing w:val="1"/>
          <w:sz w:val="22"/>
        </w:rPr>
        <w:t> </w:t>
      </w:r>
      <w:r>
        <w:rPr>
          <w:sz w:val="22"/>
        </w:rPr>
        <w:t>QLRC.</w:t>
      </w:r>
      <w:r>
        <w:rPr>
          <w:spacing w:val="1"/>
          <w:sz w:val="22"/>
        </w:rPr>
        <w:t> </w:t>
      </w:r>
      <w:r>
        <w:rPr>
          <w:sz w:val="22"/>
        </w:rPr>
        <w:t>In</w:t>
      </w:r>
      <w:r>
        <w:rPr>
          <w:spacing w:val="1"/>
          <w:sz w:val="22"/>
        </w:rPr>
        <w:t> </w:t>
      </w:r>
      <w:r>
        <w:rPr>
          <w:sz w:val="22"/>
        </w:rPr>
        <w:t>our</w:t>
      </w:r>
      <w:r>
        <w:rPr>
          <w:spacing w:val="1"/>
          <w:sz w:val="22"/>
        </w:rPr>
        <w:t> </w:t>
      </w:r>
      <w:r>
        <w:rPr>
          <w:sz w:val="22"/>
        </w:rPr>
        <w:t>opinion,</w:t>
      </w:r>
      <w:r>
        <w:rPr>
          <w:spacing w:val="1"/>
          <w:sz w:val="22"/>
        </w:rPr>
        <w:t> </w:t>
      </w:r>
      <w:r>
        <w:rPr>
          <w:sz w:val="22"/>
        </w:rPr>
        <w:t>to</w:t>
      </w:r>
      <w:r>
        <w:rPr>
          <w:spacing w:val="61"/>
          <w:sz w:val="22"/>
        </w:rPr>
        <w:t> </w:t>
      </w:r>
      <w:r>
        <w:rPr>
          <w:sz w:val="22"/>
        </w:rPr>
        <w:t>presume</w:t>
      </w:r>
      <w:r>
        <w:rPr>
          <w:spacing w:val="1"/>
          <w:sz w:val="22"/>
        </w:rPr>
        <w:t> </w:t>
      </w:r>
      <w:r>
        <w:rPr>
          <w:sz w:val="22"/>
        </w:rPr>
        <w:t>incapacity until otherwise proven is inconsistent with the presumption of capacity established</w:t>
      </w:r>
      <w:r>
        <w:rPr>
          <w:spacing w:val="-59"/>
          <w:sz w:val="22"/>
        </w:rPr>
        <w:t> </w:t>
      </w:r>
      <w:r>
        <w:rPr>
          <w:sz w:val="22"/>
        </w:rPr>
        <w:t>by</w:t>
      </w:r>
      <w:r>
        <w:rPr>
          <w:spacing w:val="-5"/>
          <w:sz w:val="22"/>
        </w:rPr>
        <w:t> </w:t>
      </w:r>
      <w:r>
        <w:rPr>
          <w:sz w:val="22"/>
        </w:rPr>
        <w:t>General</w:t>
      </w:r>
      <w:r>
        <w:rPr>
          <w:spacing w:val="-7"/>
          <w:sz w:val="22"/>
        </w:rPr>
        <w:t> </w:t>
      </w:r>
      <w:r>
        <w:rPr>
          <w:sz w:val="22"/>
        </w:rPr>
        <w:t>Principle</w:t>
      </w:r>
      <w:r>
        <w:rPr>
          <w:spacing w:val="-1"/>
          <w:sz w:val="22"/>
        </w:rPr>
        <w:t> </w:t>
      </w:r>
      <w:r>
        <w:rPr>
          <w:sz w:val="22"/>
        </w:rPr>
        <w:t>3(1), which</w:t>
      </w:r>
      <w:r>
        <w:rPr>
          <w:spacing w:val="-2"/>
          <w:sz w:val="22"/>
        </w:rPr>
        <w:t> </w:t>
      </w:r>
      <w:r>
        <w:rPr>
          <w:sz w:val="22"/>
        </w:rPr>
        <w:t>pursuant</w:t>
      </w:r>
      <w:r>
        <w:rPr>
          <w:spacing w:val="-7"/>
          <w:sz w:val="22"/>
        </w:rPr>
        <w:t> </w:t>
      </w:r>
      <w:r>
        <w:rPr>
          <w:sz w:val="22"/>
        </w:rPr>
        <w:t>to</w:t>
      </w:r>
      <w:r>
        <w:rPr>
          <w:spacing w:val="-1"/>
          <w:sz w:val="22"/>
        </w:rPr>
        <w:t> </w:t>
      </w:r>
      <w:r>
        <w:rPr>
          <w:sz w:val="22"/>
        </w:rPr>
        <w:t>Clauses</w:t>
      </w:r>
      <w:r>
        <w:rPr>
          <w:spacing w:val="-1"/>
          <w:sz w:val="22"/>
        </w:rPr>
        <w:t> </w:t>
      </w:r>
      <w:r>
        <w:rPr>
          <w:sz w:val="22"/>
        </w:rPr>
        <w:t>6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1"/>
          <w:sz w:val="22"/>
        </w:rPr>
        <w:t> </w:t>
      </w:r>
      <w:r>
        <w:rPr>
          <w:sz w:val="22"/>
        </w:rPr>
        <w:t>39</w:t>
      </w:r>
      <w:r>
        <w:rPr>
          <w:spacing w:val="-5"/>
          <w:sz w:val="22"/>
        </w:rPr>
        <w:t> </w:t>
      </w:r>
      <w:r>
        <w:rPr>
          <w:sz w:val="22"/>
        </w:rPr>
        <w:t>should</w:t>
      </w:r>
      <w:r>
        <w:rPr>
          <w:spacing w:val="-1"/>
          <w:sz w:val="22"/>
        </w:rPr>
        <w:t> </w:t>
      </w:r>
      <w:r>
        <w:rPr>
          <w:sz w:val="22"/>
        </w:rPr>
        <w:t>always</w:t>
      </w:r>
      <w:r>
        <w:rPr>
          <w:spacing w:val="-1"/>
          <w:sz w:val="22"/>
        </w:rPr>
        <w:t> </w:t>
      </w:r>
      <w:r>
        <w:rPr>
          <w:sz w:val="22"/>
        </w:rPr>
        <w:t>be</w:t>
      </w:r>
      <w:r>
        <w:rPr>
          <w:spacing w:val="-1"/>
          <w:sz w:val="22"/>
        </w:rPr>
        <w:t> </w:t>
      </w:r>
      <w:r>
        <w:rPr>
          <w:sz w:val="22"/>
        </w:rPr>
        <w:t>applied.</w:t>
      </w:r>
    </w:p>
    <w:p>
      <w:pPr>
        <w:pStyle w:val="BodyText"/>
        <w:spacing w:before="121"/>
        <w:ind w:left="620" w:right="277"/>
        <w:jc w:val="both"/>
      </w:pPr>
      <w:r>
        <w:rPr/>
        <w:t>Sub-section 11(3) qualifies s 11(2), providing that it does not apply to the extent an order</w:t>
      </w:r>
      <w:r>
        <w:rPr>
          <w:spacing w:val="1"/>
        </w:rPr>
        <w:t> </w:t>
      </w:r>
      <w:r>
        <w:rPr/>
        <w:t>appointing a guardian or administrator includes a term of the type mentioned in section 12(3)</w:t>
      </w:r>
      <w:r>
        <w:rPr>
          <w:spacing w:val="-59"/>
        </w:rPr>
        <w:t> </w:t>
      </w:r>
      <w:r>
        <w:rPr/>
        <w:t>(found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Clause</w:t>
      </w:r>
      <w:r>
        <w:rPr>
          <w:spacing w:val="1"/>
        </w:rPr>
        <w:t> </w:t>
      </w:r>
      <w:r>
        <w:rPr/>
        <w:t>7).</w:t>
      </w:r>
      <w:r>
        <w:rPr>
          <w:spacing w:val="1"/>
        </w:rPr>
        <w:t> </w:t>
      </w:r>
      <w:r>
        <w:rPr>
          <w:b/>
        </w:rPr>
        <w:t>QAI supports</w:t>
      </w:r>
      <w:r>
        <w:rPr>
          <w:b/>
          <w:spacing w:val="1"/>
        </w:rPr>
        <w:t> </w:t>
      </w:r>
      <w:r>
        <w:rPr>
          <w:b/>
        </w:rPr>
        <w:t>this</w:t>
      </w:r>
      <w:r>
        <w:rPr>
          <w:b/>
          <w:spacing w:val="1"/>
        </w:rPr>
        <w:t> </w:t>
      </w:r>
      <w:r>
        <w:rPr>
          <w:b/>
        </w:rPr>
        <w:t>qualification</w:t>
      </w:r>
      <w:r>
        <w:rPr>
          <w:b/>
          <w:spacing w:val="1"/>
        </w:rPr>
        <w:t> </w:t>
      </w:r>
      <w:r>
        <w:rPr>
          <w:b/>
        </w:rPr>
        <w:t>as</w:t>
      </w:r>
      <w:r>
        <w:rPr>
          <w:b/>
          <w:spacing w:val="1"/>
        </w:rPr>
        <w:t> </w:t>
      </w:r>
      <w:r>
        <w:rPr>
          <w:b/>
        </w:rPr>
        <w:t>it addresses</w:t>
      </w:r>
      <w:r>
        <w:rPr>
          <w:b/>
          <w:spacing w:val="1"/>
        </w:rPr>
        <w:t> </w:t>
      </w:r>
      <w:r>
        <w:rPr>
          <w:b/>
        </w:rPr>
        <w:t>the issue</w:t>
      </w:r>
      <w:r>
        <w:rPr>
          <w:b/>
          <w:spacing w:val="1"/>
        </w:rPr>
        <w:t> </w:t>
      </w:r>
      <w:r>
        <w:rPr>
          <w:b/>
        </w:rPr>
        <w:t>of</w:t>
      </w:r>
      <w:r>
        <w:rPr>
          <w:b/>
          <w:spacing w:val="1"/>
        </w:rPr>
        <w:t> </w:t>
      </w:r>
      <w:r>
        <w:rPr>
          <w:b/>
        </w:rPr>
        <w:t>fluctuating capacity.</w:t>
      </w:r>
      <w:r>
        <w:rPr>
          <w:b/>
          <w:spacing w:val="1"/>
        </w:rPr>
        <w:t> </w:t>
      </w:r>
      <w:r>
        <w:rPr/>
        <w:t>This is important and appropriate given that it is well understood that</w:t>
      </w:r>
      <w:r>
        <w:rPr>
          <w:spacing w:val="1"/>
        </w:rPr>
        <w:t> </w:t>
      </w:r>
      <w:r>
        <w:rPr/>
        <w:t>capacity</w:t>
      </w:r>
      <w:r>
        <w:rPr>
          <w:spacing w:val="-6"/>
        </w:rPr>
        <w:t> </w:t>
      </w:r>
      <w:r>
        <w:rPr/>
        <w:t>can</w:t>
      </w:r>
      <w:r>
        <w:rPr>
          <w:spacing w:val="-1"/>
        </w:rPr>
        <w:t> </w:t>
      </w:r>
      <w:r>
        <w:rPr/>
        <w:t>alter</w:t>
      </w:r>
      <w:r>
        <w:rPr>
          <w:spacing w:val="-4"/>
        </w:rPr>
        <w:t> </w:t>
      </w:r>
      <w:r>
        <w:rPr/>
        <w:t>over</w:t>
      </w:r>
      <w:r>
        <w:rPr>
          <w:spacing w:val="-4"/>
        </w:rPr>
        <w:t> </w:t>
      </w:r>
      <w:r>
        <w:rPr/>
        <w:t>time</w:t>
      </w:r>
      <w:r>
        <w:rPr>
          <w:spacing w:val="-2"/>
        </w:rPr>
        <w:t> </w:t>
      </w:r>
      <w:r>
        <w:rPr/>
        <w:t>and</w:t>
      </w:r>
      <w:r>
        <w:rPr>
          <w:spacing w:val="-1"/>
        </w:rPr>
        <w:t> </w:t>
      </w:r>
      <w:r>
        <w:rPr/>
        <w:t>guardianship</w:t>
      </w:r>
      <w:r>
        <w:rPr>
          <w:spacing w:val="-1"/>
        </w:rPr>
        <w:t> </w:t>
      </w:r>
      <w:r>
        <w:rPr/>
        <w:t>orders</w:t>
      </w:r>
      <w:r>
        <w:rPr>
          <w:spacing w:val="-2"/>
        </w:rPr>
        <w:t> </w:t>
      </w:r>
      <w:r>
        <w:rPr/>
        <w:t>can</w:t>
      </w:r>
      <w:r>
        <w:rPr>
          <w:spacing w:val="-1"/>
        </w:rPr>
        <w:t> </w:t>
      </w:r>
      <w:r>
        <w:rPr/>
        <w:t>run</w:t>
      </w:r>
      <w:r>
        <w:rPr>
          <w:spacing w:val="-1"/>
        </w:rPr>
        <w:t> </w:t>
      </w:r>
      <w:r>
        <w:rPr/>
        <w:t>for</w:t>
      </w:r>
      <w:r>
        <w:rPr>
          <w:spacing w:val="-4"/>
        </w:rPr>
        <w:t> </w:t>
      </w:r>
      <w:r>
        <w:rPr/>
        <w:t>substantial</w:t>
      </w:r>
      <w:r>
        <w:rPr>
          <w:spacing w:val="-4"/>
        </w:rPr>
        <w:t> </w:t>
      </w:r>
      <w:r>
        <w:rPr/>
        <w:t>periods</w:t>
      </w:r>
      <w:r>
        <w:rPr>
          <w:spacing w:val="-1"/>
        </w:rPr>
        <w:t> </w:t>
      </w:r>
      <w:r>
        <w:rPr/>
        <w:t>of</w:t>
      </w:r>
      <w:r>
        <w:rPr>
          <w:spacing w:val="-4"/>
        </w:rPr>
        <w:t> </w:t>
      </w:r>
      <w:r>
        <w:rPr/>
        <w:t>time.</w:t>
      </w:r>
    </w:p>
    <w:p>
      <w:pPr>
        <w:pStyle w:val="Heading3"/>
        <w:spacing w:before="120"/>
      </w:pPr>
      <w:r>
        <w:rPr>
          <w:color w:val="4F81BC"/>
        </w:rPr>
        <w:t>Chapter</w:t>
      </w:r>
      <w:r>
        <w:rPr>
          <w:color w:val="4F81BC"/>
          <w:spacing w:val="-3"/>
        </w:rPr>
        <w:t> </w:t>
      </w:r>
      <w:r>
        <w:rPr>
          <w:color w:val="4F81BC"/>
        </w:rPr>
        <w:t>2A</w:t>
      </w:r>
      <w:r>
        <w:rPr>
          <w:color w:val="4F81BC"/>
          <w:spacing w:val="-8"/>
        </w:rPr>
        <w:t> </w:t>
      </w:r>
      <w:r>
        <w:rPr>
          <w:color w:val="4F81BC"/>
        </w:rPr>
        <w:t>Principles</w:t>
      </w:r>
      <w:r>
        <w:rPr>
          <w:color w:val="4F81BC"/>
          <w:spacing w:val="3"/>
        </w:rPr>
        <w:t> </w:t>
      </w:r>
      <w:r>
        <w:rPr>
          <w:color w:val="4F81BC"/>
        </w:rPr>
        <w:t>(Clause</w:t>
      </w:r>
      <w:r>
        <w:rPr>
          <w:color w:val="4F81BC"/>
          <w:spacing w:val="-3"/>
        </w:rPr>
        <w:t> </w:t>
      </w:r>
      <w:r>
        <w:rPr>
          <w:color w:val="4F81BC"/>
        </w:rPr>
        <w:t>6)</w:t>
      </w:r>
    </w:p>
    <w:p>
      <w:pPr>
        <w:spacing w:before="119"/>
        <w:ind w:left="620" w:right="279" w:firstLine="0"/>
        <w:jc w:val="both"/>
        <w:rPr>
          <w:sz w:val="22"/>
        </w:rPr>
      </w:pPr>
      <w:r>
        <w:rPr>
          <w:b/>
          <w:sz w:val="22"/>
        </w:rPr>
        <w:t>QAI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supports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both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the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insertion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of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the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General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Principles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and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the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Health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Care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Principles at the beginning of the legislation and their amendment to align more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closely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with the</w:t>
      </w:r>
      <w:r>
        <w:rPr>
          <w:b/>
          <w:spacing w:val="2"/>
          <w:sz w:val="22"/>
        </w:rPr>
        <w:t> </w:t>
      </w:r>
      <w:r>
        <w:rPr>
          <w:b/>
          <w:sz w:val="22"/>
        </w:rPr>
        <w:t>CRPD</w:t>
      </w:r>
      <w:r>
        <w:rPr>
          <w:sz w:val="22"/>
        </w:rPr>
        <w:t>,</w:t>
      </w:r>
      <w:r>
        <w:rPr>
          <w:spacing w:val="-3"/>
          <w:sz w:val="22"/>
        </w:rPr>
        <w:t> </w:t>
      </w:r>
      <w:r>
        <w:rPr>
          <w:sz w:val="22"/>
        </w:rPr>
        <w:t>for</w:t>
      </w:r>
      <w:r>
        <w:rPr>
          <w:spacing w:val="-3"/>
          <w:sz w:val="22"/>
        </w:rPr>
        <w:t> </w:t>
      </w:r>
      <w:r>
        <w:rPr>
          <w:sz w:val="22"/>
        </w:rPr>
        <w:t>example</w:t>
      </w:r>
      <w:r>
        <w:rPr>
          <w:spacing w:val="1"/>
          <w:sz w:val="22"/>
        </w:rPr>
        <w:t> </w:t>
      </w:r>
      <w:r>
        <w:rPr>
          <w:sz w:val="22"/>
        </w:rPr>
        <w:t>by:</w:t>
      </w:r>
    </w:p>
    <w:p>
      <w:pPr>
        <w:pStyle w:val="ListParagraph"/>
        <w:numPr>
          <w:ilvl w:val="0"/>
          <w:numId w:val="1"/>
        </w:numPr>
        <w:tabs>
          <w:tab w:pos="1341" w:val="left" w:leader="none"/>
        </w:tabs>
        <w:spacing w:line="240" w:lineRule="auto" w:before="125" w:after="0"/>
        <w:ind w:left="1340" w:right="280" w:hanging="360"/>
        <w:jc w:val="both"/>
        <w:rPr>
          <w:sz w:val="22"/>
        </w:rPr>
      </w:pPr>
      <w:r>
        <w:rPr>
          <w:sz w:val="22"/>
        </w:rPr>
        <w:t>the extension of ‘same human rights’ (the second General Principle in s 11B(3)) to</w:t>
      </w:r>
      <w:r>
        <w:rPr>
          <w:spacing w:val="1"/>
          <w:sz w:val="22"/>
        </w:rPr>
        <w:t> </w:t>
      </w:r>
      <w:r>
        <w:rPr>
          <w:sz w:val="22"/>
        </w:rPr>
        <w:t>include</w:t>
      </w:r>
      <w:r>
        <w:rPr>
          <w:spacing w:val="-1"/>
          <w:sz w:val="22"/>
        </w:rPr>
        <w:t> </w:t>
      </w:r>
      <w:r>
        <w:rPr>
          <w:sz w:val="22"/>
        </w:rPr>
        <w:t>‘same human rights and</w:t>
      </w:r>
      <w:r>
        <w:rPr>
          <w:spacing w:val="-1"/>
          <w:sz w:val="22"/>
        </w:rPr>
        <w:t> </w:t>
      </w:r>
      <w:r>
        <w:rPr>
          <w:sz w:val="22"/>
        </w:rPr>
        <w:t>fundamental</w:t>
      </w:r>
      <w:r>
        <w:rPr>
          <w:spacing w:val="-6"/>
          <w:sz w:val="22"/>
        </w:rPr>
        <w:t> </w:t>
      </w:r>
      <w:r>
        <w:rPr>
          <w:sz w:val="22"/>
        </w:rPr>
        <w:t>freedoms’;</w:t>
      </w:r>
      <w:r>
        <w:rPr>
          <w:spacing w:val="-3"/>
          <w:sz w:val="22"/>
        </w:rPr>
        <w:t> </w:t>
      </w:r>
      <w:r>
        <w:rPr>
          <w:sz w:val="22"/>
        </w:rPr>
        <w:t>and</w:t>
      </w:r>
    </w:p>
    <w:p>
      <w:pPr>
        <w:pStyle w:val="ListParagraph"/>
        <w:numPr>
          <w:ilvl w:val="0"/>
          <w:numId w:val="1"/>
        </w:numPr>
        <w:tabs>
          <w:tab w:pos="1341" w:val="left" w:leader="none"/>
        </w:tabs>
        <w:spacing w:line="240" w:lineRule="auto" w:before="118" w:after="0"/>
        <w:ind w:left="1340" w:right="289" w:hanging="360"/>
        <w:jc w:val="both"/>
        <w:rPr>
          <w:sz w:val="22"/>
        </w:rPr>
      </w:pPr>
      <w:r>
        <w:rPr>
          <w:sz w:val="22"/>
        </w:rPr>
        <w:t>the extension of the principles on which human rights and fundamental freedoms are</w:t>
      </w:r>
      <w:r>
        <w:rPr>
          <w:spacing w:val="1"/>
          <w:sz w:val="22"/>
        </w:rPr>
        <w:t> </w:t>
      </w:r>
      <w:r>
        <w:rPr>
          <w:sz w:val="22"/>
        </w:rPr>
        <w:t>based and which are to be taken account</w:t>
      </w:r>
      <w:r>
        <w:rPr>
          <w:spacing w:val="-8"/>
          <w:sz w:val="22"/>
        </w:rPr>
        <w:t> </w:t>
      </w:r>
      <w:r>
        <w:rPr>
          <w:sz w:val="22"/>
        </w:rPr>
        <w:t>of.</w:t>
      </w:r>
    </w:p>
    <w:p>
      <w:pPr>
        <w:pStyle w:val="BodyText"/>
        <w:spacing w:before="123"/>
        <w:ind w:left="620" w:right="276"/>
        <w:jc w:val="both"/>
      </w:pPr>
      <w:r>
        <w:rPr/>
        <w:t>While we note that this is not consistent with the QLRC’s recommendations, we agree that</w:t>
      </w:r>
      <w:r>
        <w:rPr>
          <w:spacing w:val="1"/>
        </w:rPr>
        <w:t> </w:t>
      </w:r>
      <w:r>
        <w:rPr/>
        <w:t>commencing both the GAA and the POA Acts with the General Principals will help to bring</w:t>
      </w:r>
      <w:r>
        <w:rPr>
          <w:spacing w:val="1"/>
        </w:rPr>
        <w:t> </w:t>
      </w:r>
      <w:r>
        <w:rPr/>
        <w:t>attention to them and remind decision-makers to apply them, and encourage increased</w:t>
      </w:r>
      <w:r>
        <w:rPr>
          <w:spacing w:val="1"/>
        </w:rPr>
        <w:t> </w:t>
      </w:r>
      <w:r>
        <w:rPr/>
        <w:t>compliance with human rights principles.</w:t>
      </w:r>
      <w:r>
        <w:rPr>
          <w:spacing w:val="1"/>
        </w:rPr>
        <w:t> </w:t>
      </w:r>
      <w:r>
        <w:rPr/>
        <w:t>QAI is hopeful that this new prominence, coupled</w:t>
      </w:r>
      <w:r>
        <w:rPr>
          <w:spacing w:val="1"/>
        </w:rPr>
        <w:t> </w:t>
      </w:r>
      <w:r>
        <w:rPr/>
        <w:t>with the newly expanded scope, will be a step towards ensuring that the General Principles</w:t>
      </w:r>
      <w:r>
        <w:rPr>
          <w:spacing w:val="1"/>
        </w:rPr>
        <w:t> </w:t>
      </w:r>
      <w:r>
        <w:rPr/>
        <w:t>are</w:t>
      </w:r>
      <w:r>
        <w:rPr>
          <w:spacing w:val="-2"/>
        </w:rPr>
        <w:t> </w:t>
      </w:r>
      <w:r>
        <w:rPr/>
        <w:t>authentically</w:t>
      </w:r>
      <w:r>
        <w:rPr>
          <w:spacing w:val="-4"/>
        </w:rPr>
        <w:t> </w:t>
      </w:r>
      <w:r>
        <w:rPr/>
        <w:t>translated</w:t>
      </w:r>
      <w:r>
        <w:rPr>
          <w:spacing w:val="2"/>
        </w:rPr>
        <w:t> </w:t>
      </w:r>
      <w:r>
        <w:rPr/>
        <w:t>into</w:t>
      </w:r>
      <w:r>
        <w:rPr>
          <w:spacing w:val="-1"/>
        </w:rPr>
        <w:t> </w:t>
      </w:r>
      <w:r>
        <w:rPr/>
        <w:t>practice</w:t>
      </w:r>
      <w:r>
        <w:rPr>
          <w:spacing w:val="-1"/>
        </w:rPr>
        <w:t> </w:t>
      </w:r>
      <w:r>
        <w:rPr/>
        <w:t>by</w:t>
      </w:r>
      <w:r>
        <w:rPr>
          <w:spacing w:val="-5"/>
        </w:rPr>
        <w:t> </w:t>
      </w:r>
      <w:r>
        <w:rPr/>
        <w:t>decision-makers applying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Acts.</w:t>
      </w:r>
    </w:p>
    <w:p>
      <w:pPr>
        <w:pStyle w:val="BodyText"/>
        <w:spacing w:before="118"/>
        <w:ind w:left="620" w:right="273"/>
        <w:jc w:val="both"/>
      </w:pPr>
      <w:r>
        <w:rPr/>
        <w:t>QAI has held concerns, notwithstanding that the General Principles expressly recognise</w:t>
      </w:r>
      <w:r>
        <w:rPr>
          <w:spacing w:val="1"/>
        </w:rPr>
        <w:t> </w:t>
      </w:r>
      <w:r>
        <w:rPr/>
        <w:t>some of the human rights proclaimed in the CRPD, that in reality the human rights of a</w:t>
      </w:r>
      <w:r>
        <w:rPr>
          <w:spacing w:val="1"/>
        </w:rPr>
        <w:t> </w:t>
      </w:r>
      <w:r>
        <w:rPr/>
        <w:t>person facing a guardianship order are often given little or no consideration.</w:t>
      </w:r>
      <w:r>
        <w:rPr>
          <w:spacing w:val="1"/>
        </w:rPr>
        <w:t> </w:t>
      </w:r>
      <w:r>
        <w:rPr/>
        <w:t>In QAI’s</w:t>
      </w:r>
      <w:r>
        <w:rPr>
          <w:spacing w:val="1"/>
        </w:rPr>
        <w:t> </w:t>
      </w:r>
      <w:r>
        <w:rPr/>
        <w:t>experience, this is particularly so in the making of an interim order or when a hospital or</w:t>
      </w:r>
      <w:r>
        <w:rPr>
          <w:spacing w:val="1"/>
        </w:rPr>
        <w:t> </w:t>
      </w:r>
      <w:r>
        <w:rPr/>
        <w:t>service</w:t>
      </w:r>
      <w:r>
        <w:rPr>
          <w:spacing w:val="13"/>
        </w:rPr>
        <w:t> </w:t>
      </w:r>
      <w:r>
        <w:rPr/>
        <w:t>provider</w:t>
      </w:r>
      <w:r>
        <w:rPr>
          <w:spacing w:val="7"/>
        </w:rPr>
        <w:t> </w:t>
      </w:r>
      <w:r>
        <w:rPr/>
        <w:t>makes</w:t>
      </w:r>
      <w:r>
        <w:rPr>
          <w:spacing w:val="10"/>
        </w:rPr>
        <w:t> </w:t>
      </w:r>
      <w:r>
        <w:rPr/>
        <w:t>an</w:t>
      </w:r>
      <w:r>
        <w:rPr>
          <w:spacing w:val="14"/>
        </w:rPr>
        <w:t> </w:t>
      </w:r>
      <w:r>
        <w:rPr/>
        <w:t>application</w:t>
      </w:r>
      <w:r>
        <w:rPr>
          <w:spacing w:val="14"/>
        </w:rPr>
        <w:t> </w:t>
      </w:r>
      <w:r>
        <w:rPr/>
        <w:t>for</w:t>
      </w:r>
      <w:r>
        <w:rPr>
          <w:spacing w:val="14"/>
        </w:rPr>
        <w:t> </w:t>
      </w:r>
      <w:r>
        <w:rPr/>
        <w:t>the</w:t>
      </w:r>
      <w:r>
        <w:rPr>
          <w:spacing w:val="14"/>
        </w:rPr>
        <w:t> </w:t>
      </w:r>
      <w:r>
        <w:rPr/>
        <w:t>appointment</w:t>
      </w:r>
      <w:r>
        <w:rPr>
          <w:spacing w:val="11"/>
        </w:rPr>
        <w:t> </w:t>
      </w:r>
      <w:r>
        <w:rPr/>
        <w:t>of</w:t>
      </w:r>
      <w:r>
        <w:rPr>
          <w:spacing w:val="11"/>
        </w:rPr>
        <w:t> </w:t>
      </w:r>
      <w:r>
        <w:rPr/>
        <w:t>a</w:t>
      </w:r>
      <w:r>
        <w:rPr>
          <w:spacing w:val="13"/>
        </w:rPr>
        <w:t> </w:t>
      </w:r>
      <w:r>
        <w:rPr/>
        <w:t>guardian</w:t>
      </w:r>
      <w:r>
        <w:rPr>
          <w:spacing w:val="14"/>
        </w:rPr>
        <w:t> </w:t>
      </w:r>
      <w:r>
        <w:rPr/>
        <w:t>or</w:t>
      </w:r>
      <w:r>
        <w:rPr>
          <w:spacing w:val="11"/>
        </w:rPr>
        <w:t> </w:t>
      </w:r>
      <w:r>
        <w:rPr/>
        <w:t>administrator.</w:t>
      </w:r>
      <w:r>
        <w:rPr>
          <w:spacing w:val="11"/>
        </w:rPr>
        <w:t> </w:t>
      </w:r>
      <w:r>
        <w:rPr/>
        <w:t>It</w:t>
      </w:r>
      <w:r>
        <w:rPr>
          <w:spacing w:val="1"/>
        </w:rPr>
        <w:t> </w:t>
      </w:r>
      <w:r>
        <w:rPr/>
        <w:t>is during these times that the General Principles are often overlooked or not considered and</w:t>
      </w:r>
      <w:r>
        <w:rPr>
          <w:spacing w:val="1"/>
        </w:rPr>
        <w:t> </w:t>
      </w:r>
      <w:r>
        <w:rPr/>
        <w:t>so</w:t>
      </w:r>
      <w:r>
        <w:rPr>
          <w:spacing w:val="-1"/>
        </w:rPr>
        <w:t> </w:t>
      </w:r>
      <w:r>
        <w:rPr/>
        <w:t>the individual’s human</w:t>
      </w:r>
      <w:r>
        <w:rPr>
          <w:spacing w:val="-1"/>
        </w:rPr>
        <w:t> </w:t>
      </w:r>
      <w:r>
        <w:rPr/>
        <w:t>rights fail</w:t>
      </w:r>
      <w:r>
        <w:rPr>
          <w:spacing w:val="-3"/>
        </w:rPr>
        <w:t> </w:t>
      </w:r>
      <w:r>
        <w:rPr/>
        <w:t>to be</w:t>
      </w:r>
      <w:r>
        <w:rPr>
          <w:spacing w:val="-1"/>
        </w:rPr>
        <w:t> </w:t>
      </w:r>
      <w:r>
        <w:rPr/>
        <w:t>enlivened.</w:t>
      </w:r>
    </w:p>
    <w:p>
      <w:pPr>
        <w:pStyle w:val="Heading3"/>
        <w:spacing w:before="117"/>
        <w:ind w:right="277"/>
        <w:rPr>
          <w:b w:val="0"/>
        </w:rPr>
      </w:pPr>
      <w:r>
        <w:rPr/>
        <w:t>QAI recommends that safeguards also be introduced to ensure that entities do not</w:t>
      </w:r>
      <w:r>
        <w:rPr>
          <w:spacing w:val="1"/>
        </w:rPr>
        <w:t> </w:t>
      </w:r>
      <w:r>
        <w:rPr/>
        <w:t>give</w:t>
      </w:r>
      <w:r>
        <w:rPr>
          <w:spacing w:val="41"/>
        </w:rPr>
        <w:t> </w:t>
      </w:r>
      <w:r>
        <w:rPr/>
        <w:t>selective</w:t>
      </w:r>
      <w:r>
        <w:rPr>
          <w:spacing w:val="42"/>
        </w:rPr>
        <w:t> </w:t>
      </w:r>
      <w:r>
        <w:rPr/>
        <w:t>weighting</w:t>
      </w:r>
      <w:r>
        <w:rPr>
          <w:spacing w:val="41"/>
        </w:rPr>
        <w:t> </w:t>
      </w:r>
      <w:r>
        <w:rPr/>
        <w:t>to</w:t>
      </w:r>
      <w:r>
        <w:rPr>
          <w:spacing w:val="41"/>
        </w:rPr>
        <w:t> </w:t>
      </w:r>
      <w:r>
        <w:rPr/>
        <w:t>the</w:t>
      </w:r>
      <w:r>
        <w:rPr>
          <w:spacing w:val="42"/>
        </w:rPr>
        <w:t> </w:t>
      </w:r>
      <w:r>
        <w:rPr/>
        <w:t>General</w:t>
      </w:r>
      <w:r>
        <w:rPr>
          <w:spacing w:val="38"/>
        </w:rPr>
        <w:t> </w:t>
      </w:r>
      <w:r>
        <w:rPr/>
        <w:t>Principles</w:t>
      </w:r>
      <w:r>
        <w:rPr>
          <w:spacing w:val="50"/>
        </w:rPr>
        <w:t> </w:t>
      </w:r>
      <w:r>
        <w:rPr>
          <w:b w:val="0"/>
        </w:rPr>
        <w:t>in</w:t>
      </w:r>
      <w:r>
        <w:rPr>
          <w:b w:val="0"/>
          <w:spacing w:val="42"/>
        </w:rPr>
        <w:t> </w:t>
      </w:r>
      <w:r>
        <w:rPr>
          <w:b w:val="0"/>
        </w:rPr>
        <w:t>a</w:t>
      </w:r>
      <w:r>
        <w:rPr>
          <w:b w:val="0"/>
          <w:spacing w:val="46"/>
        </w:rPr>
        <w:t> </w:t>
      </w:r>
      <w:r>
        <w:rPr>
          <w:b w:val="0"/>
        </w:rPr>
        <w:t>way</w:t>
      </w:r>
      <w:r>
        <w:rPr>
          <w:b w:val="0"/>
          <w:spacing w:val="41"/>
        </w:rPr>
        <w:t> </w:t>
      </w:r>
      <w:r>
        <w:rPr>
          <w:b w:val="0"/>
        </w:rPr>
        <w:t>that</w:t>
      </w:r>
      <w:r>
        <w:rPr>
          <w:b w:val="0"/>
          <w:spacing w:val="39"/>
        </w:rPr>
        <w:t> </w:t>
      </w:r>
      <w:r>
        <w:rPr>
          <w:b w:val="0"/>
        </w:rPr>
        <w:t>skews</w:t>
      </w:r>
      <w:r>
        <w:rPr>
          <w:b w:val="0"/>
          <w:spacing w:val="42"/>
        </w:rPr>
        <w:t> </w:t>
      </w:r>
      <w:r>
        <w:rPr>
          <w:b w:val="0"/>
        </w:rPr>
        <w:t>the</w:t>
      </w:r>
      <w:r>
        <w:rPr>
          <w:b w:val="0"/>
          <w:spacing w:val="38"/>
        </w:rPr>
        <w:t> </w:t>
      </w:r>
      <w:r>
        <w:rPr>
          <w:b w:val="0"/>
        </w:rPr>
        <w:t>decision-</w:t>
      </w:r>
    </w:p>
    <w:p>
      <w:pPr>
        <w:spacing w:after="0"/>
        <w:sectPr>
          <w:pgSz w:w="11910" w:h="16840"/>
          <w:pgMar w:header="0" w:footer="1907" w:top="1080" w:bottom="2120" w:left="820" w:right="1160"/>
        </w:sectPr>
      </w:pPr>
    </w:p>
    <w:p>
      <w:pPr>
        <w:spacing w:line="240" w:lineRule="auto" w:before="74"/>
        <w:ind w:left="620" w:right="273" w:firstLine="0"/>
        <w:jc w:val="both"/>
        <w:rPr>
          <w:sz w:val="22"/>
        </w:rPr>
      </w:pPr>
      <w:r>
        <w:rPr>
          <w:sz w:val="22"/>
        </w:rPr>
        <w:t>making process to the statutory body’s objectives.</w:t>
      </w:r>
      <w:r>
        <w:rPr>
          <w:spacing w:val="62"/>
          <w:sz w:val="22"/>
        </w:rPr>
        <w:t> </w:t>
      </w:r>
      <w:r>
        <w:rPr>
          <w:sz w:val="22"/>
        </w:rPr>
        <w:t>For instance, some decision-makers</w:t>
      </w:r>
      <w:r>
        <w:rPr>
          <w:spacing w:val="1"/>
          <w:sz w:val="22"/>
        </w:rPr>
        <w:t> </w:t>
      </w:r>
      <w:r>
        <w:rPr>
          <w:sz w:val="22"/>
        </w:rPr>
        <w:t>weigh </w:t>
      </w:r>
      <w:r>
        <w:rPr>
          <w:i/>
          <w:sz w:val="22"/>
        </w:rPr>
        <w:t>Principle 10 – Appropriate to the circumstances </w:t>
      </w:r>
      <w:r>
        <w:rPr>
          <w:sz w:val="22"/>
        </w:rPr>
        <w:t>more heavily than </w:t>
      </w:r>
      <w:r>
        <w:rPr>
          <w:i/>
          <w:sz w:val="22"/>
        </w:rPr>
        <w:t>Principal 2 – Same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human rights</w:t>
      </w:r>
      <w:r>
        <w:rPr>
          <w:sz w:val="22"/>
        </w:rPr>
        <w:t>.</w:t>
      </w:r>
      <w:r>
        <w:rPr>
          <w:spacing w:val="1"/>
          <w:sz w:val="22"/>
        </w:rPr>
        <w:t> </w:t>
      </w:r>
      <w:r>
        <w:rPr>
          <w:sz w:val="22"/>
        </w:rPr>
        <w:t>As a result, the decision-making process is skewed to the statutory body’s</w:t>
      </w:r>
      <w:r>
        <w:rPr>
          <w:spacing w:val="1"/>
          <w:sz w:val="22"/>
        </w:rPr>
        <w:t> </w:t>
      </w:r>
      <w:r>
        <w:rPr>
          <w:sz w:val="22"/>
        </w:rPr>
        <w:t>objective,</w:t>
      </w:r>
      <w:r>
        <w:rPr>
          <w:spacing w:val="-2"/>
          <w:sz w:val="22"/>
        </w:rPr>
        <w:t> </w:t>
      </w:r>
      <w:r>
        <w:rPr>
          <w:sz w:val="22"/>
        </w:rPr>
        <w:t>rather</w:t>
      </w:r>
      <w:r>
        <w:rPr>
          <w:spacing w:val="-3"/>
          <w:sz w:val="22"/>
        </w:rPr>
        <w:t> </w:t>
      </w:r>
      <w:r>
        <w:rPr>
          <w:sz w:val="22"/>
        </w:rPr>
        <w:t>than</w:t>
      </w:r>
      <w:r>
        <w:rPr>
          <w:spacing w:val="1"/>
          <w:sz w:val="22"/>
        </w:rPr>
        <w:t> </w:t>
      </w:r>
      <w:r>
        <w:rPr>
          <w:sz w:val="22"/>
        </w:rPr>
        <w:t>the individual’s.</w:t>
      </w:r>
    </w:p>
    <w:p>
      <w:pPr>
        <w:pStyle w:val="BodyText"/>
        <w:spacing w:before="116"/>
        <w:ind w:left="620" w:right="271"/>
        <w:jc w:val="both"/>
      </w:pPr>
      <w:r>
        <w:rPr/>
        <w:t>In QAI’s experience, people living in supported accommodation are assailable to abuse,</w:t>
      </w:r>
      <w:r>
        <w:rPr>
          <w:spacing w:val="1"/>
        </w:rPr>
        <w:t> </w:t>
      </w:r>
      <w:r>
        <w:rPr/>
        <w:t>neglect, exploitation and the unlawful and/or coerced use of cruel, inhuman and degrading</w:t>
      </w:r>
      <w:r>
        <w:rPr>
          <w:spacing w:val="1"/>
        </w:rPr>
        <w:t> </w:t>
      </w:r>
      <w:r>
        <w:rPr/>
        <w:t>treatment commonly referred to as Restrictive Practices in the name of managing what is</w:t>
      </w:r>
      <w:r>
        <w:rPr>
          <w:spacing w:val="1"/>
        </w:rPr>
        <w:t> </w:t>
      </w:r>
      <w:r>
        <w:rPr/>
        <w:t>called 'challenging behaviour'. This is especially true for people with no family, friends or</w:t>
      </w:r>
      <w:r>
        <w:rPr>
          <w:spacing w:val="1"/>
        </w:rPr>
        <w:t> </w:t>
      </w:r>
      <w:r>
        <w:rPr/>
        <w:t>advocates to safeguard them.</w:t>
      </w:r>
      <w:r>
        <w:rPr>
          <w:spacing w:val="1"/>
        </w:rPr>
        <w:t> </w:t>
      </w:r>
      <w:r>
        <w:rPr/>
        <w:t>However, even informal familial and friendship relationships</w:t>
      </w:r>
      <w:r>
        <w:rPr>
          <w:spacing w:val="1"/>
        </w:rPr>
        <w:t> </w:t>
      </w:r>
      <w:r>
        <w:rPr/>
        <w:t>can be subjected to manipulations by combative service providers</w:t>
      </w:r>
      <w:r>
        <w:rPr>
          <w:spacing w:val="1"/>
        </w:rPr>
        <w:t> </w:t>
      </w:r>
      <w:r>
        <w:rPr/>
        <w:t>or others, and even</w:t>
      </w:r>
      <w:r>
        <w:rPr>
          <w:spacing w:val="1"/>
        </w:rPr>
        <w:t> </w:t>
      </w:r>
      <w:r>
        <w:rPr/>
        <w:t>indifferently</w:t>
      </w:r>
      <w:r>
        <w:rPr>
          <w:spacing w:val="1"/>
        </w:rPr>
        <w:t> </w:t>
      </w:r>
      <w:r>
        <w:rPr/>
        <w:t>enabled</w:t>
      </w:r>
      <w:r>
        <w:rPr>
          <w:spacing w:val="1"/>
        </w:rPr>
        <w:t> </w:t>
      </w:r>
      <w:r>
        <w:rPr/>
        <w:t>by</w:t>
      </w:r>
      <w:r>
        <w:rPr>
          <w:spacing w:val="1"/>
        </w:rPr>
        <w:t> </w:t>
      </w:r>
      <w:r>
        <w:rPr/>
        <w:t>bureaucracy</w:t>
      </w:r>
      <w:r>
        <w:rPr>
          <w:spacing w:val="1"/>
        </w:rPr>
        <w:t> </w:t>
      </w:r>
      <w:r>
        <w:rPr/>
        <w:t>including</w:t>
      </w:r>
      <w:r>
        <w:rPr>
          <w:spacing w:val="1"/>
        </w:rPr>
        <w:t> </w:t>
      </w:r>
      <w:r>
        <w:rPr/>
        <w:t>formal</w:t>
      </w:r>
      <w:r>
        <w:rPr>
          <w:spacing w:val="1"/>
        </w:rPr>
        <w:t> </w:t>
      </w:r>
      <w:r>
        <w:rPr/>
        <w:t>statutory</w:t>
      </w:r>
      <w:r>
        <w:rPr>
          <w:spacing w:val="1"/>
        </w:rPr>
        <w:t> </w:t>
      </w:r>
      <w:r>
        <w:rPr/>
        <w:t>guardians.</w:t>
      </w:r>
      <w:r>
        <w:rPr>
          <w:vertAlign w:val="superscript"/>
        </w:rPr>
        <w:t>1</w:t>
      </w:r>
      <w:r>
        <w:rPr>
          <w:spacing w:val="1"/>
          <w:vertAlign w:val="baseline"/>
        </w:rPr>
        <w:t> </w:t>
      </w:r>
      <w:r>
        <w:rPr>
          <w:vertAlign w:val="baseline"/>
        </w:rPr>
        <w:t>While</w:t>
      </w:r>
      <w:r>
        <w:rPr>
          <w:spacing w:val="1"/>
          <w:vertAlign w:val="baseline"/>
        </w:rPr>
        <w:t> </w:t>
      </w:r>
      <w:r>
        <w:rPr>
          <w:vertAlign w:val="baseline"/>
        </w:rPr>
        <w:t>QAI</w:t>
      </w:r>
      <w:r>
        <w:rPr>
          <w:spacing w:val="1"/>
          <w:vertAlign w:val="baseline"/>
        </w:rPr>
        <w:t> </w:t>
      </w:r>
      <w:r>
        <w:rPr>
          <w:vertAlign w:val="baseline"/>
        </w:rPr>
        <w:t>supports the introduction of the requirement that informal decision makers must also apply</w:t>
      </w:r>
      <w:r>
        <w:rPr>
          <w:spacing w:val="1"/>
          <w:vertAlign w:val="baseline"/>
        </w:rPr>
        <w:t> </w:t>
      </w:r>
      <w:r>
        <w:rPr>
          <w:vertAlign w:val="baseline"/>
        </w:rPr>
        <w:t>the General Principles, there must be due diligence to preserve the ‘natural authority and</w:t>
      </w:r>
      <w:r>
        <w:rPr>
          <w:spacing w:val="1"/>
          <w:vertAlign w:val="baseline"/>
        </w:rPr>
        <w:t> </w:t>
      </w:r>
      <w:r>
        <w:rPr>
          <w:vertAlign w:val="baseline"/>
        </w:rPr>
        <w:t>authenticity’</w:t>
      </w:r>
      <w:r>
        <w:rPr>
          <w:vertAlign w:val="superscript"/>
        </w:rPr>
        <w:t>2</w:t>
      </w:r>
      <w:r>
        <w:rPr>
          <w:spacing w:val="-4"/>
          <w:vertAlign w:val="baseline"/>
        </w:rPr>
        <w:t> </w:t>
      </w:r>
      <w:r>
        <w:rPr>
          <w:vertAlign w:val="baseline"/>
        </w:rPr>
        <w:t>of</w:t>
      </w:r>
      <w:r>
        <w:rPr>
          <w:spacing w:val="-3"/>
          <w:vertAlign w:val="baseline"/>
        </w:rPr>
        <w:t> </w:t>
      </w:r>
      <w:r>
        <w:rPr>
          <w:vertAlign w:val="baseline"/>
        </w:rPr>
        <w:t>a supportive</w:t>
      </w:r>
      <w:r>
        <w:rPr>
          <w:spacing w:val="-1"/>
          <w:vertAlign w:val="baseline"/>
        </w:rPr>
        <w:t> </w:t>
      </w:r>
      <w:r>
        <w:rPr>
          <w:vertAlign w:val="baseline"/>
        </w:rPr>
        <w:t>family</w:t>
      </w:r>
      <w:r>
        <w:rPr>
          <w:spacing w:val="2"/>
          <w:vertAlign w:val="baseline"/>
        </w:rPr>
        <w:t> </w:t>
      </w:r>
      <w:r>
        <w:rPr>
          <w:vertAlign w:val="baseline"/>
        </w:rPr>
        <w:t>and/or</w:t>
      </w:r>
      <w:r>
        <w:rPr>
          <w:spacing w:val="-4"/>
          <w:vertAlign w:val="baseline"/>
        </w:rPr>
        <w:t> </w:t>
      </w:r>
      <w:r>
        <w:rPr>
          <w:vertAlign w:val="baseline"/>
        </w:rPr>
        <w:t>informal</w:t>
      </w:r>
      <w:r>
        <w:rPr>
          <w:spacing w:val="-6"/>
          <w:vertAlign w:val="baseline"/>
        </w:rPr>
        <w:t> </w:t>
      </w:r>
      <w:r>
        <w:rPr>
          <w:vertAlign w:val="baseline"/>
        </w:rPr>
        <w:t>network.</w:t>
      </w:r>
    </w:p>
    <w:p>
      <w:pPr>
        <w:spacing w:line="240" w:lineRule="auto" w:before="119"/>
        <w:ind w:left="620" w:right="269" w:firstLine="0"/>
        <w:jc w:val="both"/>
        <w:rPr>
          <w:sz w:val="22"/>
        </w:rPr>
      </w:pPr>
      <w:r>
        <w:rPr>
          <w:b/>
          <w:sz w:val="22"/>
        </w:rPr>
        <w:t>QAI supports the amendment to the fourth limb of General Principle 9 in s 11B(3)</w:t>
      </w:r>
      <w:r>
        <w:rPr>
          <w:b/>
          <w:spacing w:val="1"/>
          <w:sz w:val="22"/>
        </w:rPr>
        <w:t> </w:t>
      </w:r>
      <w:r>
        <w:rPr>
          <w:sz w:val="22"/>
        </w:rPr>
        <w:t>(structured decision-making), whereby advance health directives and Enduring Powers of</w:t>
      </w:r>
      <w:r>
        <w:rPr>
          <w:spacing w:val="1"/>
          <w:sz w:val="22"/>
        </w:rPr>
        <w:t> </w:t>
      </w:r>
      <w:r>
        <w:rPr>
          <w:sz w:val="22"/>
        </w:rPr>
        <w:t>Attorney must inform the decision-making.</w:t>
      </w:r>
      <w:r>
        <w:rPr>
          <w:spacing w:val="1"/>
          <w:sz w:val="22"/>
        </w:rPr>
        <w:t> </w:t>
      </w:r>
      <w:r>
        <w:rPr>
          <w:sz w:val="22"/>
        </w:rPr>
        <w:t>This proposal is consistent with the approach</w:t>
      </w:r>
      <w:r>
        <w:rPr>
          <w:spacing w:val="1"/>
          <w:sz w:val="22"/>
        </w:rPr>
        <w:t> </w:t>
      </w:r>
      <w:r>
        <w:rPr>
          <w:sz w:val="22"/>
        </w:rPr>
        <w:t>taken</w:t>
      </w:r>
      <w:r>
        <w:rPr>
          <w:spacing w:val="-1"/>
          <w:sz w:val="22"/>
        </w:rPr>
        <w:t> </w:t>
      </w:r>
      <w:r>
        <w:rPr>
          <w:sz w:val="22"/>
        </w:rPr>
        <w:t>in the</w:t>
      </w:r>
      <w:r>
        <w:rPr>
          <w:spacing w:val="1"/>
          <w:sz w:val="22"/>
        </w:rPr>
        <w:t> </w:t>
      </w:r>
      <w:r>
        <w:rPr>
          <w:sz w:val="22"/>
        </w:rPr>
        <w:t>new</w:t>
      </w:r>
      <w:r>
        <w:rPr>
          <w:spacing w:val="-4"/>
          <w:sz w:val="22"/>
        </w:rPr>
        <w:t> </w:t>
      </w:r>
      <w:r>
        <w:rPr>
          <w:i/>
          <w:sz w:val="22"/>
        </w:rPr>
        <w:t>Mental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Health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Act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2016</w:t>
      </w:r>
      <w:r>
        <w:rPr>
          <w:i/>
          <w:spacing w:val="1"/>
          <w:sz w:val="22"/>
        </w:rPr>
        <w:t> </w:t>
      </w:r>
      <w:r>
        <w:rPr>
          <w:sz w:val="22"/>
        </w:rPr>
        <w:t>(Qld).</w:t>
      </w:r>
    </w:p>
    <w:p>
      <w:pPr>
        <w:pStyle w:val="Heading3"/>
        <w:spacing w:before="120"/>
      </w:pPr>
      <w:r>
        <w:rPr>
          <w:color w:val="4F81BC"/>
        </w:rPr>
        <w:t>Eligibility</w:t>
      </w:r>
      <w:r>
        <w:rPr>
          <w:color w:val="4F81BC"/>
          <w:spacing w:val="-3"/>
        </w:rPr>
        <w:t> </w:t>
      </w:r>
      <w:r>
        <w:rPr>
          <w:color w:val="4F81BC"/>
        </w:rPr>
        <w:t>to</w:t>
      </w:r>
      <w:r>
        <w:rPr>
          <w:color w:val="4F81BC"/>
          <w:spacing w:val="-2"/>
        </w:rPr>
        <w:t> </w:t>
      </w:r>
      <w:r>
        <w:rPr>
          <w:color w:val="4F81BC"/>
        </w:rPr>
        <w:t>be</w:t>
      </w:r>
      <w:r>
        <w:rPr>
          <w:color w:val="4F81BC"/>
          <w:spacing w:val="-2"/>
        </w:rPr>
        <w:t> </w:t>
      </w:r>
      <w:r>
        <w:rPr>
          <w:color w:val="4F81BC"/>
        </w:rPr>
        <w:t>a</w:t>
      </w:r>
      <w:r>
        <w:rPr>
          <w:color w:val="4F81BC"/>
          <w:spacing w:val="-3"/>
        </w:rPr>
        <w:t> </w:t>
      </w:r>
      <w:r>
        <w:rPr>
          <w:color w:val="4F81BC"/>
        </w:rPr>
        <w:t>guardian/administrator</w:t>
      </w:r>
      <w:r>
        <w:rPr>
          <w:color w:val="4F81BC"/>
          <w:spacing w:val="-4"/>
        </w:rPr>
        <w:t> </w:t>
      </w:r>
      <w:r>
        <w:rPr>
          <w:color w:val="4F81BC"/>
        </w:rPr>
        <w:t>(Clauses</w:t>
      </w:r>
      <w:r>
        <w:rPr>
          <w:color w:val="4F81BC"/>
          <w:spacing w:val="-6"/>
        </w:rPr>
        <w:t> </w:t>
      </w:r>
      <w:r>
        <w:rPr>
          <w:color w:val="4F81BC"/>
        </w:rPr>
        <w:t>10</w:t>
      </w:r>
      <w:r>
        <w:rPr>
          <w:color w:val="4F81BC"/>
          <w:spacing w:val="-2"/>
        </w:rPr>
        <w:t> </w:t>
      </w:r>
      <w:r>
        <w:rPr>
          <w:color w:val="4F81BC"/>
        </w:rPr>
        <w:t>&amp;</w:t>
      </w:r>
      <w:r>
        <w:rPr>
          <w:color w:val="4F81BC"/>
          <w:spacing w:val="-3"/>
        </w:rPr>
        <w:t> </w:t>
      </w:r>
      <w:r>
        <w:rPr>
          <w:color w:val="4F81BC"/>
        </w:rPr>
        <w:t>11)</w:t>
      </w:r>
    </w:p>
    <w:p>
      <w:pPr>
        <w:pStyle w:val="BodyText"/>
        <w:spacing w:before="119"/>
        <w:ind w:left="620" w:right="273"/>
        <w:jc w:val="both"/>
      </w:pPr>
      <w:r>
        <w:rPr>
          <w:b/>
        </w:rPr>
        <w:t>QAI considers the use of the term ‘paid carer’ inappropriate.</w:t>
      </w:r>
      <w:r>
        <w:rPr>
          <w:b/>
          <w:spacing w:val="1"/>
        </w:rPr>
        <w:t> </w:t>
      </w:r>
      <w:r>
        <w:rPr/>
        <w:t>Carers are not support</w:t>
      </w:r>
      <w:r>
        <w:rPr>
          <w:spacing w:val="1"/>
        </w:rPr>
        <w:t> </w:t>
      </w:r>
      <w:r>
        <w:rPr/>
        <w:t>workers,</w:t>
      </w:r>
      <w:r>
        <w:rPr>
          <w:spacing w:val="1"/>
        </w:rPr>
        <w:t> </w:t>
      </w:r>
      <w:r>
        <w:rPr/>
        <w:t>nor</w:t>
      </w:r>
      <w:r>
        <w:rPr>
          <w:spacing w:val="1"/>
        </w:rPr>
        <w:t> </w:t>
      </w:r>
      <w:r>
        <w:rPr/>
        <w:t>are</w:t>
      </w:r>
      <w:r>
        <w:rPr>
          <w:spacing w:val="1"/>
        </w:rPr>
        <w:t> </w:t>
      </w:r>
      <w:r>
        <w:rPr/>
        <w:t>support</w:t>
      </w:r>
      <w:r>
        <w:rPr>
          <w:spacing w:val="1"/>
        </w:rPr>
        <w:t> </w:t>
      </w:r>
      <w:r>
        <w:rPr/>
        <w:t>workers</w:t>
      </w:r>
      <w:r>
        <w:rPr>
          <w:spacing w:val="1"/>
        </w:rPr>
        <w:t> </w:t>
      </w:r>
      <w:r>
        <w:rPr/>
        <w:t>carers.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conflate</w:t>
      </w:r>
      <w:r>
        <w:rPr>
          <w:spacing w:val="1"/>
        </w:rPr>
        <w:t> </w:t>
      </w:r>
      <w:r>
        <w:rPr/>
        <w:t>these</w:t>
      </w:r>
      <w:r>
        <w:rPr>
          <w:spacing w:val="1"/>
        </w:rPr>
        <w:t> </w:t>
      </w:r>
      <w:r>
        <w:rPr/>
        <w:t>terms</w:t>
      </w:r>
      <w:r>
        <w:rPr>
          <w:spacing w:val="1"/>
        </w:rPr>
        <w:t> </w:t>
      </w:r>
      <w:r>
        <w:rPr/>
        <w:t>potentially</w:t>
      </w:r>
      <w:r>
        <w:rPr>
          <w:spacing w:val="1"/>
        </w:rPr>
        <w:t> </w:t>
      </w:r>
      <w:r>
        <w:rPr/>
        <w:t>creates</w:t>
      </w:r>
      <w:r>
        <w:rPr>
          <w:spacing w:val="1"/>
        </w:rPr>
        <w:t> </w:t>
      </w:r>
      <w:r>
        <w:rPr/>
        <w:t>confusion.</w:t>
      </w:r>
      <w:r>
        <w:rPr>
          <w:spacing w:val="1"/>
        </w:rPr>
        <w:t> </w:t>
      </w:r>
      <w:r>
        <w:rPr/>
        <w:t>While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this</w:t>
      </w:r>
      <w:r>
        <w:rPr>
          <w:spacing w:val="1"/>
        </w:rPr>
        <w:t> </w:t>
      </w:r>
      <w:r>
        <w:rPr/>
        <w:t>submission</w:t>
      </w:r>
      <w:r>
        <w:rPr>
          <w:spacing w:val="1"/>
        </w:rPr>
        <w:t> </w:t>
      </w:r>
      <w:r>
        <w:rPr/>
        <w:t>we</w:t>
      </w:r>
      <w:r>
        <w:rPr>
          <w:spacing w:val="1"/>
        </w:rPr>
        <w:t> </w:t>
      </w:r>
      <w:r>
        <w:rPr/>
        <w:t>have</w:t>
      </w:r>
      <w:r>
        <w:rPr>
          <w:spacing w:val="1"/>
        </w:rPr>
        <w:t> </w:t>
      </w:r>
      <w:r>
        <w:rPr/>
        <w:t>mirrored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terminology</w:t>
      </w:r>
      <w:r>
        <w:rPr>
          <w:spacing w:val="1"/>
        </w:rPr>
        <w:t> </w:t>
      </w:r>
      <w:r>
        <w:rPr/>
        <w:t>used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amendment Bill for the sake of clarity and consistency,</w:t>
      </w:r>
      <w:r>
        <w:rPr>
          <w:spacing w:val="61"/>
        </w:rPr>
        <w:t> </w:t>
      </w:r>
      <w:r>
        <w:rPr/>
        <w:t>QAI submits that rather than using</w:t>
      </w:r>
      <w:r>
        <w:rPr>
          <w:spacing w:val="1"/>
        </w:rPr>
        <w:t> </w:t>
      </w:r>
      <w:r>
        <w:rPr/>
        <w:t>the term ‘paid carer’, the reference should be to ‘support worker’</w:t>
      </w:r>
      <w:r>
        <w:rPr>
          <w:spacing w:val="1"/>
        </w:rPr>
        <w:t> </w:t>
      </w:r>
      <w:r>
        <w:rPr/>
        <w:t>or ‘waged employee’.</w:t>
      </w:r>
      <w:r>
        <w:rPr>
          <w:spacing w:val="1"/>
        </w:rPr>
        <w:t> </w:t>
      </w:r>
      <w:r>
        <w:rPr/>
        <w:t>Carers</w:t>
      </w:r>
      <w:r>
        <w:rPr>
          <w:spacing w:val="13"/>
        </w:rPr>
        <w:t> </w:t>
      </w:r>
      <w:r>
        <w:rPr/>
        <w:t>can</w:t>
      </w:r>
      <w:r>
        <w:rPr>
          <w:spacing w:val="14"/>
        </w:rPr>
        <w:t> </w:t>
      </w:r>
      <w:r>
        <w:rPr/>
        <w:t>be</w:t>
      </w:r>
      <w:r>
        <w:rPr>
          <w:spacing w:val="14"/>
        </w:rPr>
        <w:t> </w:t>
      </w:r>
      <w:r>
        <w:rPr/>
        <w:t>children,</w:t>
      </w:r>
      <w:r>
        <w:rPr>
          <w:spacing w:val="15"/>
        </w:rPr>
        <w:t> </w:t>
      </w:r>
      <w:r>
        <w:rPr/>
        <w:t>neighbours,</w:t>
      </w:r>
      <w:r>
        <w:rPr>
          <w:spacing w:val="14"/>
        </w:rPr>
        <w:t> </w:t>
      </w:r>
      <w:r>
        <w:rPr/>
        <w:t>friends</w:t>
      </w:r>
      <w:r>
        <w:rPr>
          <w:spacing w:val="14"/>
        </w:rPr>
        <w:t> </w:t>
      </w:r>
      <w:r>
        <w:rPr/>
        <w:t>or</w:t>
      </w:r>
      <w:r>
        <w:rPr>
          <w:spacing w:val="15"/>
        </w:rPr>
        <w:t> </w:t>
      </w:r>
      <w:r>
        <w:rPr/>
        <w:t>family</w:t>
      </w:r>
      <w:r>
        <w:rPr>
          <w:spacing w:val="14"/>
        </w:rPr>
        <w:t> </w:t>
      </w:r>
      <w:r>
        <w:rPr/>
        <w:t>members.</w:t>
      </w:r>
      <w:r>
        <w:rPr>
          <w:spacing w:val="33"/>
        </w:rPr>
        <w:t> </w:t>
      </w:r>
      <w:r>
        <w:rPr/>
        <w:t>Support</w:t>
      </w:r>
      <w:r>
        <w:rPr>
          <w:spacing w:val="15"/>
        </w:rPr>
        <w:t> </w:t>
      </w:r>
      <w:r>
        <w:rPr/>
        <w:t>workers</w:t>
      </w:r>
      <w:r>
        <w:rPr>
          <w:spacing w:val="9"/>
        </w:rPr>
        <w:t> </w:t>
      </w:r>
      <w:r>
        <w:rPr/>
        <w:t>may</w:t>
      </w:r>
      <w:r>
        <w:rPr>
          <w:spacing w:val="14"/>
        </w:rPr>
        <w:t> </w:t>
      </w:r>
      <w:r>
        <w:rPr/>
        <w:t>also</w:t>
      </w:r>
      <w:r>
        <w:rPr>
          <w:spacing w:val="-59"/>
        </w:rPr>
        <w:t> </w:t>
      </w:r>
      <w:r>
        <w:rPr/>
        <w:t>in some instances be in these roles, but the difference lies</w:t>
      </w:r>
      <w:r>
        <w:rPr>
          <w:spacing w:val="1"/>
        </w:rPr>
        <w:t> </w:t>
      </w:r>
      <w:r>
        <w:rPr/>
        <w:t>in remuneration</w:t>
      </w:r>
      <w:r>
        <w:rPr>
          <w:spacing w:val="61"/>
        </w:rPr>
        <w:t> </w:t>
      </w:r>
      <w:r>
        <w:rPr/>
        <w:t>– support</w:t>
      </w:r>
      <w:r>
        <w:rPr>
          <w:spacing w:val="1"/>
        </w:rPr>
        <w:t> </w:t>
      </w:r>
      <w:r>
        <w:rPr/>
        <w:t>workers draw a wage in payment for services rendered.</w:t>
      </w:r>
      <w:r>
        <w:rPr>
          <w:spacing w:val="1"/>
        </w:rPr>
        <w:t> </w:t>
      </w:r>
      <w:r>
        <w:rPr/>
        <w:t>Carers receive an allowance or</w:t>
      </w:r>
      <w:r>
        <w:rPr>
          <w:spacing w:val="1"/>
        </w:rPr>
        <w:t> </w:t>
      </w:r>
      <w:r>
        <w:rPr/>
        <w:t>pension or sometimes both from Centrelink as financial support as the carer may have given</w:t>
      </w:r>
      <w:r>
        <w:rPr>
          <w:spacing w:val="1"/>
        </w:rPr>
        <w:t> </w:t>
      </w:r>
      <w:r>
        <w:rPr/>
        <w:t>up work to care for the person, or an allowance to cover some of the costs in caring for</w:t>
      </w:r>
      <w:r>
        <w:rPr>
          <w:spacing w:val="1"/>
        </w:rPr>
        <w:t> </w:t>
      </w:r>
      <w:r>
        <w:rPr/>
        <w:t>someone.</w:t>
      </w:r>
    </w:p>
    <w:p>
      <w:pPr>
        <w:pStyle w:val="BodyText"/>
        <w:spacing w:before="126"/>
        <w:ind w:left="620" w:right="272"/>
        <w:jc w:val="both"/>
      </w:pPr>
      <w:r>
        <w:rPr/>
        <w:t>QAI is concerned to ensure that being a ‘paid carer’, or a past ‘paid carer’, does not preclude</w:t>
      </w:r>
      <w:r>
        <w:rPr>
          <w:spacing w:val="-59"/>
        </w:rPr>
        <w:t> </w:t>
      </w:r>
      <w:r>
        <w:rPr/>
        <w:t>a person from eligibility to be a guardian or administrator.</w:t>
      </w:r>
      <w:r>
        <w:rPr>
          <w:spacing w:val="1"/>
        </w:rPr>
        <w:t> </w:t>
      </w:r>
      <w:r>
        <w:rPr/>
        <w:t>Where a person is no longer in a</w:t>
      </w:r>
      <w:r>
        <w:rPr>
          <w:spacing w:val="1"/>
        </w:rPr>
        <w:t> </w:t>
      </w:r>
      <w:r>
        <w:rPr/>
        <w:t>paid formal employment arrangement, there is no obstensible</w:t>
      </w:r>
      <w:r>
        <w:rPr>
          <w:spacing w:val="1"/>
        </w:rPr>
        <w:t> </w:t>
      </w:r>
      <w:r>
        <w:rPr/>
        <w:t>reason why a conflict of</w:t>
      </w:r>
      <w:r>
        <w:rPr>
          <w:spacing w:val="1"/>
        </w:rPr>
        <w:t> </w:t>
      </w:r>
      <w:r>
        <w:rPr/>
        <w:t>interest would exist.</w:t>
      </w:r>
      <w:r>
        <w:rPr>
          <w:spacing w:val="1"/>
        </w:rPr>
        <w:t> </w:t>
      </w:r>
      <w:r>
        <w:rPr/>
        <w:t>While being a current paid support worker may give rise to the potential</w:t>
      </w:r>
      <w:r>
        <w:rPr>
          <w:spacing w:val="-59"/>
        </w:rPr>
        <w:t> </w:t>
      </w:r>
      <w:r>
        <w:rPr/>
        <w:t>for a conflict, this should not be decisive and should only be one relevant consideration for</w:t>
      </w:r>
      <w:r>
        <w:rPr>
          <w:spacing w:val="1"/>
        </w:rPr>
        <w:t> </w:t>
      </w:r>
      <w:r>
        <w:rPr/>
        <w:t>the tribunal to consider.</w:t>
      </w:r>
      <w:r>
        <w:rPr>
          <w:spacing w:val="1"/>
        </w:rPr>
        <w:t> </w:t>
      </w:r>
      <w:r>
        <w:rPr/>
        <w:t>In some circumstances, a paid (or previously employed) support</w:t>
      </w:r>
      <w:r>
        <w:rPr>
          <w:spacing w:val="1"/>
        </w:rPr>
        <w:t> </w:t>
      </w:r>
      <w:r>
        <w:rPr/>
        <w:t>worker may be the best, or only,</w:t>
      </w:r>
      <w:r>
        <w:rPr>
          <w:spacing w:val="1"/>
        </w:rPr>
        <w:t> </w:t>
      </w:r>
      <w:r>
        <w:rPr/>
        <w:t>informal support that a person has</w:t>
      </w:r>
      <w:r>
        <w:rPr>
          <w:spacing w:val="61"/>
        </w:rPr>
        <w:t> </w:t>
      </w:r>
      <w:r>
        <w:rPr/>
        <w:t>and may therefore be</w:t>
      </w:r>
      <w:r>
        <w:rPr>
          <w:spacing w:val="1"/>
        </w:rPr>
        <w:t> </w:t>
      </w:r>
      <w:r>
        <w:rPr/>
        <w:t>the most appropriate choice of guardian.   QAI proposes that a case-by-case approach</w:t>
      </w:r>
      <w:r>
        <w:rPr>
          <w:spacing w:val="1"/>
        </w:rPr>
        <w:t> </w:t>
      </w:r>
      <w:r>
        <w:rPr/>
        <w:t>should be taken to determine appropriateness, with due diligence recommended.</w:t>
      </w:r>
      <w:r>
        <w:rPr>
          <w:spacing w:val="1"/>
        </w:rPr>
        <w:t> </w:t>
      </w:r>
      <w:r>
        <w:rPr/>
        <w:t>It appears</w:t>
      </w:r>
      <w:r>
        <w:rPr>
          <w:spacing w:val="1"/>
        </w:rPr>
        <w:t> </w:t>
      </w:r>
      <w:r>
        <w:rPr/>
        <w:t>that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amendment</w:t>
      </w:r>
      <w:r>
        <w:rPr>
          <w:spacing w:val="1"/>
        </w:rPr>
        <w:t> </w:t>
      </w:r>
      <w:r>
        <w:rPr/>
        <w:t>is</w:t>
      </w:r>
      <w:r>
        <w:rPr>
          <w:spacing w:val="1"/>
        </w:rPr>
        <w:t> </w:t>
      </w:r>
      <w:r>
        <w:rPr/>
        <w:t>attempting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address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concern</w:t>
      </w:r>
      <w:r>
        <w:rPr>
          <w:spacing w:val="1"/>
        </w:rPr>
        <w:t> </w:t>
      </w:r>
      <w:r>
        <w:rPr/>
        <w:t>that</w:t>
      </w:r>
      <w:r>
        <w:rPr>
          <w:spacing w:val="1"/>
        </w:rPr>
        <w:t> </w:t>
      </w:r>
      <w:r>
        <w:rPr/>
        <w:t>service</w:t>
      </w:r>
      <w:r>
        <w:rPr>
          <w:spacing w:val="1"/>
        </w:rPr>
        <w:t> </w:t>
      </w:r>
      <w:r>
        <w:rPr/>
        <w:t>providers</w:t>
      </w:r>
      <w:r>
        <w:rPr>
          <w:spacing w:val="1"/>
        </w:rPr>
        <w:t> </w:t>
      </w:r>
      <w:r>
        <w:rPr/>
        <w:t>are</w:t>
      </w:r>
      <w:r>
        <w:rPr>
          <w:spacing w:val="1"/>
        </w:rPr>
        <w:t> </w:t>
      </w:r>
      <w:r>
        <w:rPr/>
        <w:t>appointed;</w:t>
      </w:r>
      <w:r>
        <w:rPr>
          <w:spacing w:val="14"/>
        </w:rPr>
        <w:t> </w:t>
      </w:r>
      <w:r>
        <w:rPr/>
        <w:t>in</w:t>
      </w:r>
      <w:r>
        <w:rPr>
          <w:spacing w:val="17"/>
        </w:rPr>
        <w:t> </w:t>
      </w:r>
      <w:r>
        <w:rPr/>
        <w:t>our</w:t>
      </w:r>
      <w:r>
        <w:rPr>
          <w:spacing w:val="14"/>
        </w:rPr>
        <w:t> </w:t>
      </w:r>
      <w:r>
        <w:rPr/>
        <w:t>opinion,</w:t>
      </w:r>
      <w:r>
        <w:rPr>
          <w:spacing w:val="14"/>
        </w:rPr>
        <w:t> </w:t>
      </w:r>
      <w:r>
        <w:rPr/>
        <w:t>this</w:t>
      </w:r>
      <w:r>
        <w:rPr>
          <w:spacing w:val="18"/>
        </w:rPr>
        <w:t> </w:t>
      </w:r>
      <w:r>
        <w:rPr/>
        <w:t>concern</w:t>
      </w:r>
      <w:r>
        <w:rPr>
          <w:spacing w:val="18"/>
        </w:rPr>
        <w:t> </w:t>
      </w:r>
      <w:r>
        <w:rPr/>
        <w:t>could</w:t>
      </w:r>
      <w:r>
        <w:rPr>
          <w:spacing w:val="17"/>
        </w:rPr>
        <w:t> </w:t>
      </w:r>
      <w:r>
        <w:rPr/>
        <w:t>be</w:t>
      </w:r>
      <w:r>
        <w:rPr>
          <w:spacing w:val="17"/>
        </w:rPr>
        <w:t> </w:t>
      </w:r>
      <w:r>
        <w:rPr/>
        <w:t>neutralised</w:t>
      </w:r>
      <w:r>
        <w:rPr>
          <w:spacing w:val="17"/>
        </w:rPr>
        <w:t> </w:t>
      </w:r>
      <w:r>
        <w:rPr/>
        <w:t>by</w:t>
      </w:r>
      <w:r>
        <w:rPr>
          <w:spacing w:val="13"/>
        </w:rPr>
        <w:t> </w:t>
      </w:r>
      <w:r>
        <w:rPr/>
        <w:t>including</w:t>
      </w:r>
      <w:r>
        <w:rPr>
          <w:spacing w:val="18"/>
        </w:rPr>
        <w:t> </w:t>
      </w:r>
      <w:r>
        <w:rPr/>
        <w:t>‘service</w:t>
      </w:r>
      <w:r>
        <w:rPr>
          <w:spacing w:val="17"/>
        </w:rPr>
        <w:t> </w:t>
      </w:r>
      <w:r>
        <w:rPr/>
        <w:t>providers’</w:t>
      </w:r>
      <w:r>
        <w:rPr>
          <w:spacing w:val="-59"/>
        </w:rPr>
        <w:t> </w:t>
      </w:r>
      <w:r>
        <w:rPr/>
        <w:t>as an example in the definition of health care provider.</w:t>
      </w:r>
      <w:r>
        <w:rPr>
          <w:spacing w:val="1"/>
        </w:rPr>
        <w:t> </w:t>
      </w:r>
      <w:r>
        <w:rPr/>
        <w:t>The prohibition on service providers</w:t>
      </w:r>
      <w:r>
        <w:rPr>
          <w:spacing w:val="1"/>
        </w:rPr>
        <w:t> </w:t>
      </w:r>
      <w:r>
        <w:rPr/>
        <w:t>being appointed is consistent with the DSA principle that no one service provider should</w:t>
      </w:r>
      <w:r>
        <w:rPr>
          <w:spacing w:val="1"/>
        </w:rPr>
        <w:t> </w:t>
      </w:r>
      <w:r>
        <w:rPr/>
        <w:t>exercise control over the life of a person with a disability. If included, QAI submits that this</w:t>
      </w:r>
      <w:r>
        <w:rPr>
          <w:spacing w:val="1"/>
        </w:rPr>
        <w:t> </w:t>
      </w:r>
      <w:r>
        <w:rPr/>
        <w:t>exclusion:</w:t>
      </w:r>
    </w:p>
    <w:p>
      <w:pPr>
        <w:pStyle w:val="ListParagraph"/>
        <w:numPr>
          <w:ilvl w:val="0"/>
          <w:numId w:val="1"/>
        </w:numPr>
        <w:tabs>
          <w:tab w:pos="1341" w:val="left" w:leader="none"/>
        </w:tabs>
        <w:spacing w:line="240" w:lineRule="auto" w:before="122" w:after="0"/>
        <w:ind w:left="1340" w:right="289" w:hanging="360"/>
        <w:jc w:val="both"/>
        <w:rPr>
          <w:sz w:val="22"/>
        </w:rPr>
      </w:pPr>
      <w:r>
        <w:rPr>
          <w:sz w:val="22"/>
        </w:rPr>
        <w:t>should be limited to a set time and we propose, for consistency, that a similar</w:t>
      </w:r>
      <w:r>
        <w:rPr>
          <w:spacing w:val="1"/>
          <w:sz w:val="22"/>
        </w:rPr>
        <w:t> </w:t>
      </w:r>
      <w:r>
        <w:rPr>
          <w:sz w:val="22"/>
        </w:rPr>
        <w:t>timeframe</w:t>
      </w:r>
      <w:r>
        <w:rPr>
          <w:spacing w:val="-2"/>
          <w:sz w:val="22"/>
        </w:rPr>
        <w:t> </w:t>
      </w:r>
      <w:r>
        <w:rPr>
          <w:sz w:val="22"/>
        </w:rPr>
        <w:t>is</w:t>
      </w:r>
      <w:r>
        <w:rPr>
          <w:spacing w:val="-1"/>
          <w:sz w:val="22"/>
        </w:rPr>
        <w:t> </w:t>
      </w:r>
      <w:r>
        <w:rPr>
          <w:sz w:val="22"/>
        </w:rPr>
        <w:t>applied</w:t>
      </w:r>
      <w:r>
        <w:rPr>
          <w:spacing w:val="-1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that</w:t>
      </w:r>
      <w:r>
        <w:rPr>
          <w:spacing w:val="-4"/>
          <w:sz w:val="22"/>
        </w:rPr>
        <w:t> </w:t>
      </w:r>
      <w:r>
        <w:rPr>
          <w:sz w:val="22"/>
        </w:rPr>
        <w:t>applicable</w:t>
      </w:r>
      <w:r>
        <w:rPr>
          <w:spacing w:val="3"/>
          <w:sz w:val="22"/>
        </w:rPr>
        <w:t> </w:t>
      </w:r>
      <w:r>
        <w:rPr>
          <w:sz w:val="22"/>
        </w:rPr>
        <w:t>in</w:t>
      </w:r>
      <w:r>
        <w:rPr>
          <w:spacing w:val="2"/>
          <w:sz w:val="22"/>
        </w:rPr>
        <w:t> </w:t>
      </w:r>
      <w:r>
        <w:rPr>
          <w:sz w:val="22"/>
        </w:rPr>
        <w:t>POA</w:t>
      </w:r>
      <w:r>
        <w:rPr>
          <w:spacing w:val="-1"/>
          <w:sz w:val="22"/>
        </w:rPr>
        <w:t> </w:t>
      </w:r>
      <w:r>
        <w:rPr>
          <w:sz w:val="22"/>
        </w:rPr>
        <w:t>(the</w:t>
      </w:r>
      <w:r>
        <w:rPr>
          <w:spacing w:val="-1"/>
          <w:sz w:val="22"/>
        </w:rPr>
        <w:t> </w:t>
      </w:r>
      <w:r>
        <w:rPr>
          <w:sz w:val="22"/>
        </w:rPr>
        <w:t>preceding</w:t>
      </w:r>
      <w:r>
        <w:rPr>
          <w:spacing w:val="-2"/>
          <w:sz w:val="22"/>
        </w:rPr>
        <w:t> </w:t>
      </w:r>
      <w:r>
        <w:rPr>
          <w:sz w:val="22"/>
        </w:rPr>
        <w:t>three</w:t>
      </w:r>
      <w:r>
        <w:rPr>
          <w:spacing w:val="-1"/>
          <w:sz w:val="22"/>
        </w:rPr>
        <w:t> </w:t>
      </w:r>
      <w:r>
        <w:rPr>
          <w:sz w:val="22"/>
        </w:rPr>
        <w:t>years);</w:t>
      </w:r>
    </w:p>
    <w:p>
      <w:pPr>
        <w:pStyle w:val="BodyText"/>
        <w:spacing w:before="6"/>
        <w:rPr>
          <w:sz w:val="27"/>
        </w:rPr>
      </w:pPr>
      <w:r>
        <w:rPr/>
        <w:pict>
          <v:rect style="position:absolute;margin-left:72.025002pt;margin-top:17.050499pt;width:144.050pt;height:.79999pt;mso-position-horizontal-relative:page;mso-position-vertical-relative:paragraph;z-index:-15725056;mso-wrap-distance-left:0;mso-wrap-distance-right:0" id="docshape15" filled="true" fillcolor="#000000" stroked="false">
            <v:fill type="solid"/>
            <w10:wrap type="topAndBottom"/>
          </v:rect>
        </w:pict>
      </w:r>
    </w:p>
    <w:p>
      <w:pPr>
        <w:spacing w:line="205" w:lineRule="exact" w:before="99"/>
        <w:ind w:left="620" w:right="0" w:firstLine="0"/>
        <w:jc w:val="left"/>
        <w:rPr>
          <w:sz w:val="18"/>
        </w:rPr>
      </w:pPr>
      <w:r>
        <w:rPr>
          <w:sz w:val="18"/>
          <w:vertAlign w:val="superscript"/>
        </w:rPr>
        <w:t>1</w:t>
      </w:r>
      <w:r>
        <w:rPr>
          <w:spacing w:val="-11"/>
          <w:sz w:val="18"/>
          <w:vertAlign w:val="baseline"/>
        </w:rPr>
        <w:t> </w:t>
      </w:r>
      <w:r>
        <w:rPr>
          <w:sz w:val="18"/>
          <w:vertAlign w:val="baseline"/>
        </w:rPr>
        <w:t>See</w:t>
      </w:r>
      <w:r>
        <w:rPr>
          <w:spacing w:val="-11"/>
          <w:sz w:val="18"/>
          <w:vertAlign w:val="baseline"/>
        </w:rPr>
        <w:t> </w:t>
      </w:r>
      <w:hyperlink r:id="rId9">
        <w:r>
          <w:rPr>
            <w:sz w:val="18"/>
            <w:vertAlign w:val="baseline"/>
          </w:rPr>
          <w:t>http://www.smh.com.au/nsw/mother-branded-mentally-ill-after-complaint-20100929-15xij.html.</w:t>
        </w:r>
      </w:hyperlink>
    </w:p>
    <w:p>
      <w:pPr>
        <w:spacing w:line="205" w:lineRule="exact" w:before="0"/>
        <w:ind w:left="620" w:right="0" w:firstLine="0"/>
        <w:jc w:val="left"/>
        <w:rPr>
          <w:sz w:val="18"/>
        </w:rPr>
      </w:pPr>
      <w:r>
        <w:rPr>
          <w:sz w:val="18"/>
          <w:vertAlign w:val="superscript"/>
        </w:rPr>
        <w:t>2</w:t>
      </w:r>
      <w:r>
        <w:rPr>
          <w:spacing w:val="-11"/>
          <w:sz w:val="18"/>
          <w:vertAlign w:val="baseline"/>
        </w:rPr>
        <w:t> </w:t>
      </w:r>
      <w:hyperlink r:id="rId10">
        <w:r>
          <w:rPr>
            <w:sz w:val="18"/>
            <w:vertAlign w:val="baseline"/>
          </w:rPr>
          <w:t>http://cru.org.au/wp-content/uploads/2014/04/4.-The-Natural-Authority-of-Families-MKendrick-CT45.pdf</w:t>
        </w:r>
      </w:hyperlink>
    </w:p>
    <w:p>
      <w:pPr>
        <w:spacing w:after="0" w:line="205" w:lineRule="exact"/>
        <w:jc w:val="left"/>
        <w:rPr>
          <w:sz w:val="18"/>
        </w:rPr>
        <w:sectPr>
          <w:pgSz w:w="11910" w:h="16840"/>
          <w:pgMar w:header="0" w:footer="1907" w:top="1080" w:bottom="2100" w:left="820" w:right="1160"/>
        </w:sectPr>
      </w:pPr>
    </w:p>
    <w:p>
      <w:pPr>
        <w:pStyle w:val="ListParagraph"/>
        <w:numPr>
          <w:ilvl w:val="0"/>
          <w:numId w:val="1"/>
        </w:numPr>
        <w:tabs>
          <w:tab w:pos="1341" w:val="left" w:leader="none"/>
        </w:tabs>
        <w:spacing w:line="240" w:lineRule="auto" w:before="74" w:after="0"/>
        <w:ind w:left="1340" w:right="293" w:hanging="360"/>
        <w:jc w:val="both"/>
        <w:rPr>
          <w:sz w:val="22"/>
        </w:rPr>
      </w:pPr>
      <w:r>
        <w:rPr>
          <w:sz w:val="22"/>
        </w:rPr>
        <w:t>should be only one of the considerations</w:t>
      </w:r>
      <w:r>
        <w:rPr>
          <w:spacing w:val="1"/>
          <w:sz w:val="22"/>
        </w:rPr>
        <w:t> </w:t>
      </w:r>
      <w:r>
        <w:rPr>
          <w:sz w:val="22"/>
        </w:rPr>
        <w:t>and whether it</w:t>
      </w:r>
      <w:r>
        <w:rPr>
          <w:spacing w:val="1"/>
          <w:sz w:val="22"/>
        </w:rPr>
        <w:t> </w:t>
      </w:r>
      <w:r>
        <w:rPr>
          <w:sz w:val="22"/>
        </w:rPr>
        <w:t>is</w:t>
      </w:r>
      <w:r>
        <w:rPr>
          <w:spacing w:val="1"/>
          <w:sz w:val="22"/>
        </w:rPr>
        <w:t> </w:t>
      </w:r>
      <w:r>
        <w:rPr>
          <w:sz w:val="22"/>
        </w:rPr>
        <w:t>a relevant factor to</w:t>
      </w:r>
      <w:r>
        <w:rPr>
          <w:spacing w:val="1"/>
          <w:sz w:val="22"/>
        </w:rPr>
        <w:t> </w:t>
      </w:r>
      <w:r>
        <w:rPr>
          <w:sz w:val="22"/>
        </w:rPr>
        <w:t>consider</w:t>
      </w:r>
      <w:r>
        <w:rPr>
          <w:spacing w:val="-4"/>
          <w:sz w:val="22"/>
        </w:rPr>
        <w:t> </w:t>
      </w:r>
      <w:r>
        <w:rPr>
          <w:sz w:val="22"/>
        </w:rPr>
        <w:t>should remain</w:t>
      </w:r>
      <w:r>
        <w:rPr>
          <w:spacing w:val="-1"/>
          <w:sz w:val="22"/>
        </w:rPr>
        <w:t> </w:t>
      </w:r>
      <w:r>
        <w:rPr>
          <w:sz w:val="22"/>
        </w:rPr>
        <w:t>at</w:t>
      </w:r>
      <w:r>
        <w:rPr>
          <w:spacing w:val="-3"/>
          <w:sz w:val="22"/>
        </w:rPr>
        <w:t> </w:t>
      </w:r>
      <w:r>
        <w:rPr>
          <w:sz w:val="22"/>
        </w:rPr>
        <w:t>the Tribunal’s</w:t>
      </w:r>
      <w:r>
        <w:rPr>
          <w:spacing w:val="-1"/>
          <w:sz w:val="22"/>
        </w:rPr>
        <w:t> </w:t>
      </w:r>
      <w:r>
        <w:rPr>
          <w:sz w:val="22"/>
        </w:rPr>
        <w:t>discretion.</w:t>
      </w:r>
    </w:p>
    <w:p>
      <w:pPr>
        <w:pStyle w:val="Heading3"/>
        <w:spacing w:before="114"/>
      </w:pPr>
      <w:r>
        <w:rPr>
          <w:color w:val="4F81BC"/>
        </w:rPr>
        <w:t>Appointment</w:t>
      </w:r>
      <w:r>
        <w:rPr>
          <w:color w:val="4F81BC"/>
          <w:spacing w:val="-6"/>
        </w:rPr>
        <w:t> </w:t>
      </w:r>
      <w:r>
        <w:rPr>
          <w:color w:val="4F81BC"/>
        </w:rPr>
        <w:t>review</w:t>
      </w:r>
      <w:r>
        <w:rPr>
          <w:color w:val="4F81BC"/>
          <w:spacing w:val="-4"/>
        </w:rPr>
        <w:t> </w:t>
      </w:r>
      <w:r>
        <w:rPr>
          <w:color w:val="4F81BC"/>
        </w:rPr>
        <w:t>process</w:t>
      </w:r>
      <w:r>
        <w:rPr>
          <w:color w:val="4F81BC"/>
          <w:spacing w:val="-3"/>
        </w:rPr>
        <w:t> </w:t>
      </w:r>
      <w:r>
        <w:rPr>
          <w:color w:val="4F81BC"/>
        </w:rPr>
        <w:t>(Clause</w:t>
      </w:r>
      <w:r>
        <w:rPr>
          <w:color w:val="4F81BC"/>
          <w:spacing w:val="-3"/>
        </w:rPr>
        <w:t> </w:t>
      </w:r>
      <w:r>
        <w:rPr>
          <w:color w:val="4F81BC"/>
        </w:rPr>
        <w:t>14)</w:t>
      </w:r>
    </w:p>
    <w:p>
      <w:pPr>
        <w:spacing w:before="119"/>
        <w:ind w:left="620" w:right="0" w:firstLine="0"/>
        <w:jc w:val="both"/>
        <w:rPr>
          <w:sz w:val="22"/>
        </w:rPr>
      </w:pPr>
      <w:r>
        <w:rPr>
          <w:b/>
          <w:sz w:val="22"/>
        </w:rPr>
        <w:t>QAI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agrees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with the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insertion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of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5A</w:t>
      </w:r>
      <w:r>
        <w:rPr>
          <w:b/>
          <w:spacing w:val="-12"/>
          <w:sz w:val="22"/>
        </w:rPr>
        <w:t> </w:t>
      </w:r>
      <w:r>
        <w:rPr>
          <w:b/>
          <w:sz w:val="22"/>
        </w:rPr>
        <w:t>into s 31</w:t>
      </w:r>
      <w:r>
        <w:rPr>
          <w:b/>
          <w:spacing w:val="-1"/>
          <w:sz w:val="22"/>
        </w:rPr>
        <w:t> </w:t>
      </w:r>
      <w:r>
        <w:rPr>
          <w:sz w:val="22"/>
        </w:rPr>
        <w:t>as this:</w:t>
      </w:r>
    </w:p>
    <w:p>
      <w:pPr>
        <w:pStyle w:val="ListParagraph"/>
        <w:numPr>
          <w:ilvl w:val="0"/>
          <w:numId w:val="1"/>
        </w:numPr>
        <w:tabs>
          <w:tab w:pos="1341" w:val="left" w:leader="none"/>
        </w:tabs>
        <w:spacing w:line="240" w:lineRule="auto" w:before="123" w:after="0"/>
        <w:ind w:left="1340" w:right="0" w:hanging="361"/>
        <w:jc w:val="both"/>
        <w:rPr>
          <w:sz w:val="22"/>
        </w:rPr>
      </w:pPr>
      <w:r>
        <w:rPr>
          <w:sz w:val="22"/>
        </w:rPr>
        <w:t>is</w:t>
      </w:r>
      <w:r>
        <w:rPr>
          <w:spacing w:val="-2"/>
          <w:sz w:val="22"/>
        </w:rPr>
        <w:t> </w:t>
      </w:r>
      <w:r>
        <w:rPr>
          <w:sz w:val="22"/>
        </w:rPr>
        <w:t>more</w:t>
      </w:r>
      <w:r>
        <w:rPr>
          <w:spacing w:val="-1"/>
          <w:sz w:val="22"/>
        </w:rPr>
        <w:t> </w:t>
      </w:r>
      <w:r>
        <w:rPr>
          <w:sz w:val="22"/>
        </w:rPr>
        <w:t>closely</w:t>
      </w:r>
      <w:r>
        <w:rPr>
          <w:spacing w:val="-3"/>
          <w:sz w:val="22"/>
        </w:rPr>
        <w:t> </w:t>
      </w:r>
      <w:r>
        <w:rPr>
          <w:sz w:val="22"/>
        </w:rPr>
        <w:t>aligned</w:t>
      </w:r>
      <w:r>
        <w:rPr>
          <w:spacing w:val="-2"/>
          <w:sz w:val="22"/>
        </w:rPr>
        <w:t> </w:t>
      </w:r>
      <w:r>
        <w:rPr>
          <w:sz w:val="22"/>
        </w:rPr>
        <w:t>with</w:t>
      </w:r>
      <w:r>
        <w:rPr>
          <w:spacing w:val="-1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CRPD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1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General</w:t>
      </w:r>
      <w:r>
        <w:rPr>
          <w:spacing w:val="-7"/>
          <w:sz w:val="22"/>
        </w:rPr>
        <w:t> </w:t>
      </w:r>
      <w:r>
        <w:rPr>
          <w:sz w:val="22"/>
        </w:rPr>
        <w:t>Principles</w:t>
      </w:r>
      <w:r>
        <w:rPr>
          <w:spacing w:val="-1"/>
          <w:sz w:val="22"/>
        </w:rPr>
        <w:t> </w:t>
      </w:r>
      <w:r>
        <w:rPr>
          <w:sz w:val="22"/>
        </w:rPr>
        <w:t>themselves;</w:t>
      </w:r>
      <w:r>
        <w:rPr>
          <w:spacing w:val="-4"/>
          <w:sz w:val="22"/>
        </w:rPr>
        <w:t> </w:t>
      </w:r>
      <w:r>
        <w:rPr>
          <w:sz w:val="22"/>
        </w:rPr>
        <w:t>and</w:t>
      </w:r>
    </w:p>
    <w:p>
      <w:pPr>
        <w:pStyle w:val="ListParagraph"/>
        <w:numPr>
          <w:ilvl w:val="0"/>
          <w:numId w:val="1"/>
        </w:numPr>
        <w:tabs>
          <w:tab w:pos="1341" w:val="left" w:leader="none"/>
        </w:tabs>
        <w:spacing w:line="240" w:lineRule="auto" w:before="123" w:after="0"/>
        <w:ind w:left="1340" w:right="281" w:hanging="360"/>
        <w:jc w:val="both"/>
        <w:rPr>
          <w:sz w:val="22"/>
        </w:rPr>
      </w:pPr>
      <w:r>
        <w:rPr>
          <w:sz w:val="22"/>
        </w:rPr>
        <w:t>reflects that a person’s circumstances do change and where they once may not have</w:t>
      </w:r>
      <w:r>
        <w:rPr>
          <w:spacing w:val="-59"/>
          <w:sz w:val="22"/>
        </w:rPr>
        <w:t> </w:t>
      </w:r>
      <w:r>
        <w:rPr>
          <w:sz w:val="22"/>
        </w:rPr>
        <w:t>had</w:t>
      </w:r>
      <w:r>
        <w:rPr>
          <w:spacing w:val="-1"/>
          <w:sz w:val="22"/>
        </w:rPr>
        <w:t> </w:t>
      </w: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z w:val="22"/>
        </w:rPr>
        <w:t>support</w:t>
      </w:r>
      <w:r>
        <w:rPr>
          <w:spacing w:val="-3"/>
          <w:sz w:val="22"/>
        </w:rPr>
        <w:t> </w:t>
      </w:r>
      <w:r>
        <w:rPr>
          <w:sz w:val="22"/>
        </w:rPr>
        <w:t>network they</w:t>
      </w:r>
      <w:r>
        <w:rPr>
          <w:spacing w:val="-4"/>
          <w:sz w:val="22"/>
        </w:rPr>
        <w:t> </w:t>
      </w:r>
      <w:r>
        <w:rPr>
          <w:sz w:val="22"/>
        </w:rPr>
        <w:t>do now.</w:t>
      </w:r>
    </w:p>
    <w:p>
      <w:pPr>
        <w:pStyle w:val="BodyText"/>
        <w:spacing w:before="118"/>
        <w:ind w:left="620" w:right="272"/>
        <w:jc w:val="both"/>
      </w:pPr>
      <w:r>
        <w:rPr/>
        <w:t>This insertion arguably makes it easier to have an individual appointed when the PG is</w:t>
      </w:r>
      <w:r>
        <w:rPr>
          <w:spacing w:val="1"/>
        </w:rPr>
        <w:t> </w:t>
      </w:r>
      <w:r>
        <w:rPr/>
        <w:t>already in place.</w:t>
      </w:r>
      <w:r>
        <w:rPr>
          <w:spacing w:val="1"/>
        </w:rPr>
        <w:t> </w:t>
      </w:r>
      <w:r>
        <w:rPr/>
        <w:t>This is particularly important with regards to interim orders (up to three</w:t>
      </w:r>
      <w:r>
        <w:rPr>
          <w:spacing w:val="1"/>
        </w:rPr>
        <w:t> </w:t>
      </w:r>
      <w:r>
        <w:rPr/>
        <w:t>months) when the Public Guardian is appointed, often this appointment is made without full</w:t>
      </w:r>
      <w:r>
        <w:rPr>
          <w:spacing w:val="1"/>
        </w:rPr>
        <w:t> </w:t>
      </w:r>
      <w:r>
        <w:rPr/>
        <w:t>appreciation of the relevant facts or on the asserted risks of the applicant requesting the</w:t>
      </w:r>
      <w:r>
        <w:rPr>
          <w:spacing w:val="1"/>
        </w:rPr>
        <w:t> </w:t>
      </w:r>
      <w:r>
        <w:rPr/>
        <w:t>interim order. In practice, if the Public Guardian is appointed under an interim order, they are</w:t>
      </w:r>
      <w:r>
        <w:rPr>
          <w:spacing w:val="-59"/>
        </w:rPr>
        <w:t> </w:t>
      </w:r>
      <w:r>
        <w:rPr/>
        <w:t>routinely</w:t>
      </w:r>
      <w:r>
        <w:rPr>
          <w:spacing w:val="-4"/>
        </w:rPr>
        <w:t> </w:t>
      </w:r>
      <w:r>
        <w:rPr/>
        <w:t>appointed if</w:t>
      </w:r>
      <w:r>
        <w:rPr>
          <w:spacing w:val="-3"/>
        </w:rPr>
        <w:t> </w:t>
      </w:r>
      <w:r>
        <w:rPr/>
        <w:t>a</w:t>
      </w:r>
      <w:r>
        <w:rPr>
          <w:spacing w:val="4"/>
        </w:rPr>
        <w:t> </w:t>
      </w:r>
      <w:r>
        <w:rPr/>
        <w:t>longer</w:t>
      </w:r>
      <w:r>
        <w:rPr>
          <w:spacing w:val="-3"/>
        </w:rPr>
        <w:t> </w:t>
      </w:r>
      <w:r>
        <w:rPr/>
        <w:t>order</w:t>
      </w:r>
      <w:r>
        <w:rPr>
          <w:spacing w:val="-3"/>
        </w:rPr>
        <w:t> </w:t>
      </w:r>
      <w:r>
        <w:rPr/>
        <w:t>is made.</w:t>
      </w:r>
    </w:p>
    <w:p>
      <w:pPr>
        <w:pStyle w:val="Heading3"/>
      </w:pPr>
      <w:r>
        <w:rPr>
          <w:color w:val="4F81BC"/>
        </w:rPr>
        <w:t>Increased</w:t>
      </w:r>
      <w:r>
        <w:rPr>
          <w:color w:val="4F81BC"/>
          <w:spacing w:val="-3"/>
        </w:rPr>
        <w:t> </w:t>
      </w:r>
      <w:r>
        <w:rPr>
          <w:color w:val="4F81BC"/>
        </w:rPr>
        <w:t>obligations</w:t>
      </w:r>
      <w:r>
        <w:rPr>
          <w:color w:val="4F81BC"/>
          <w:spacing w:val="-3"/>
        </w:rPr>
        <w:t> </w:t>
      </w:r>
      <w:r>
        <w:rPr>
          <w:color w:val="4F81BC"/>
        </w:rPr>
        <w:t>to</w:t>
      </w:r>
      <w:r>
        <w:rPr>
          <w:color w:val="4F81BC"/>
          <w:spacing w:val="-3"/>
        </w:rPr>
        <w:t> </w:t>
      </w:r>
      <w:r>
        <w:rPr>
          <w:color w:val="4F81BC"/>
        </w:rPr>
        <w:t>consult</w:t>
      </w:r>
      <w:r>
        <w:rPr>
          <w:color w:val="4F81BC"/>
          <w:spacing w:val="-2"/>
        </w:rPr>
        <w:t> </w:t>
      </w:r>
      <w:r>
        <w:rPr>
          <w:color w:val="4F81BC"/>
        </w:rPr>
        <w:t>(Clause</w:t>
      </w:r>
      <w:r>
        <w:rPr>
          <w:color w:val="4F81BC"/>
          <w:spacing w:val="-2"/>
        </w:rPr>
        <w:t> </w:t>
      </w:r>
      <w:r>
        <w:rPr>
          <w:color w:val="4F81BC"/>
        </w:rPr>
        <w:t>25)</w:t>
      </w:r>
    </w:p>
    <w:p>
      <w:pPr>
        <w:pStyle w:val="BodyText"/>
        <w:spacing w:before="123"/>
        <w:ind w:left="620" w:right="277"/>
        <w:jc w:val="both"/>
      </w:pPr>
      <w:r>
        <w:rPr/>
        <w:t>The new s 68A of the GAA imposes obligations on the Tribunal to consult with the listed</w:t>
      </w:r>
      <w:r>
        <w:rPr>
          <w:spacing w:val="1"/>
        </w:rPr>
        <w:t> </w:t>
      </w:r>
      <w:r>
        <w:rPr/>
        <w:t>people/entity.</w:t>
      </w:r>
      <w:r>
        <w:rPr>
          <w:spacing w:val="1"/>
        </w:rPr>
        <w:t> </w:t>
      </w:r>
      <w:r>
        <w:rPr/>
        <w:t>It is not yet clear what the obligation to consult will encompass and we query</w:t>
      </w:r>
      <w:r>
        <w:rPr>
          <w:spacing w:val="1"/>
        </w:rPr>
        <w:t> </w:t>
      </w:r>
      <w:r>
        <w:rPr/>
        <w:t>whether this will mean greater emphasis on a statutory guardian, as opposed to an individual</w:t>
      </w:r>
      <w:r>
        <w:rPr>
          <w:spacing w:val="-59"/>
        </w:rPr>
        <w:t> </w:t>
      </w:r>
      <w:r>
        <w:rPr/>
        <w:t>guardian.</w:t>
      </w:r>
    </w:p>
    <w:p>
      <w:pPr>
        <w:spacing w:before="116"/>
        <w:ind w:left="620" w:right="0" w:firstLine="0"/>
        <w:jc w:val="both"/>
        <w:rPr>
          <w:b/>
          <w:sz w:val="22"/>
        </w:rPr>
      </w:pPr>
      <w:r>
        <w:rPr>
          <w:sz w:val="22"/>
        </w:rPr>
        <w:t>QAI</w:t>
      </w:r>
      <w:r>
        <w:rPr>
          <w:spacing w:val="-5"/>
          <w:sz w:val="22"/>
        </w:rPr>
        <w:t> </w:t>
      </w:r>
      <w:r>
        <w:rPr>
          <w:sz w:val="22"/>
        </w:rPr>
        <w:t>asserts</w:t>
      </w:r>
      <w:r>
        <w:rPr>
          <w:spacing w:val="-1"/>
          <w:sz w:val="22"/>
        </w:rPr>
        <w:t> </w:t>
      </w:r>
      <w:r>
        <w:rPr>
          <w:sz w:val="22"/>
        </w:rPr>
        <w:t>that</w:t>
      </w:r>
      <w:r>
        <w:rPr>
          <w:spacing w:val="-3"/>
          <w:sz w:val="22"/>
        </w:rPr>
        <w:t> </w:t>
      </w:r>
      <w:r>
        <w:rPr>
          <w:b/>
          <w:sz w:val="22"/>
        </w:rPr>
        <w:t>all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informal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supporters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must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consult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with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the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person.</w:t>
      </w:r>
    </w:p>
    <w:p>
      <w:pPr>
        <w:pStyle w:val="BodyText"/>
        <w:spacing w:before="123"/>
        <w:ind w:left="620"/>
        <w:jc w:val="both"/>
      </w:pPr>
      <w:r>
        <w:rPr/>
        <w:t>QAI</w:t>
      </w:r>
      <w:r>
        <w:rPr>
          <w:spacing w:val="-7"/>
        </w:rPr>
        <w:t> </w:t>
      </w:r>
      <w:r>
        <w:rPr/>
        <w:t>makes</w:t>
      </w:r>
      <w:r>
        <w:rPr>
          <w:spacing w:val="-3"/>
        </w:rPr>
        <w:t> </w:t>
      </w:r>
      <w:r>
        <w:rPr/>
        <w:t>the</w:t>
      </w:r>
      <w:r>
        <w:rPr>
          <w:spacing w:val="-4"/>
        </w:rPr>
        <w:t> </w:t>
      </w:r>
      <w:r>
        <w:rPr/>
        <w:t>following</w:t>
      </w:r>
      <w:r>
        <w:rPr>
          <w:spacing w:val="-3"/>
        </w:rPr>
        <w:t> </w:t>
      </w:r>
      <w:r>
        <w:rPr/>
        <w:t>recommendations</w:t>
      </w:r>
      <w:r>
        <w:rPr>
          <w:spacing w:val="-3"/>
        </w:rPr>
        <w:t> </w:t>
      </w:r>
      <w:r>
        <w:rPr/>
        <w:t>regarding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/>
        <w:t>development</w:t>
      </w:r>
      <w:r>
        <w:rPr>
          <w:spacing w:val="-7"/>
        </w:rPr>
        <w:t> </w:t>
      </w:r>
      <w:r>
        <w:rPr/>
        <w:t>of</w:t>
      </w:r>
      <w:r>
        <w:rPr>
          <w:spacing w:val="-6"/>
        </w:rPr>
        <w:t> </w:t>
      </w:r>
      <w:r>
        <w:rPr/>
        <w:t>this</w:t>
      </w:r>
      <w:r>
        <w:rPr>
          <w:spacing w:val="5"/>
        </w:rPr>
        <w:t> </w:t>
      </w:r>
      <w:r>
        <w:rPr/>
        <w:t>obligation:</w:t>
      </w:r>
    </w:p>
    <w:p>
      <w:pPr>
        <w:pStyle w:val="ListParagraph"/>
        <w:numPr>
          <w:ilvl w:val="0"/>
          <w:numId w:val="1"/>
        </w:numPr>
        <w:tabs>
          <w:tab w:pos="1341" w:val="left" w:leader="none"/>
        </w:tabs>
        <w:spacing w:line="242" w:lineRule="auto" w:before="115" w:after="0"/>
        <w:ind w:left="1340" w:right="276" w:hanging="360"/>
        <w:jc w:val="both"/>
        <w:rPr>
          <w:sz w:val="22"/>
        </w:rPr>
      </w:pPr>
      <w:r>
        <w:rPr>
          <w:sz w:val="22"/>
        </w:rPr>
        <w:t>Given that family members or friends may know the person best, </w:t>
      </w:r>
      <w:r>
        <w:rPr>
          <w:b/>
          <w:sz w:val="22"/>
        </w:rPr>
        <w:t>the obligation to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consult should not be too onerous </w:t>
      </w:r>
      <w:r>
        <w:rPr>
          <w:sz w:val="22"/>
        </w:rPr>
        <w:t>if it is merely to gather information about the</w:t>
      </w:r>
      <w:r>
        <w:rPr>
          <w:spacing w:val="1"/>
          <w:sz w:val="22"/>
        </w:rPr>
        <w:t> </w:t>
      </w:r>
      <w:r>
        <w:rPr>
          <w:sz w:val="22"/>
        </w:rPr>
        <w:t>person, although this consulting requirement will depend on a range of factors –</w:t>
      </w:r>
      <w:r>
        <w:rPr>
          <w:spacing w:val="1"/>
          <w:sz w:val="22"/>
        </w:rPr>
        <w:t> </w:t>
      </w:r>
      <w:r>
        <w:rPr>
          <w:sz w:val="22"/>
        </w:rPr>
        <w:t>number</w:t>
      </w:r>
      <w:r>
        <w:rPr>
          <w:spacing w:val="-4"/>
          <w:sz w:val="22"/>
        </w:rPr>
        <w:t> </w:t>
      </w:r>
      <w:r>
        <w:rPr>
          <w:sz w:val="22"/>
        </w:rPr>
        <w:t>of</w:t>
      </w:r>
      <w:r>
        <w:rPr>
          <w:spacing w:val="-3"/>
          <w:sz w:val="22"/>
        </w:rPr>
        <w:t> </w:t>
      </w:r>
      <w:r>
        <w:rPr>
          <w:sz w:val="22"/>
        </w:rPr>
        <w:t>services involved,</w:t>
      </w:r>
      <w:r>
        <w:rPr>
          <w:spacing w:val="-4"/>
          <w:sz w:val="22"/>
        </w:rPr>
        <w:t> </w:t>
      </w:r>
      <w:r>
        <w:rPr>
          <w:sz w:val="22"/>
        </w:rPr>
        <w:t>co-tenants,</w:t>
      </w:r>
      <w:r>
        <w:rPr>
          <w:spacing w:val="-3"/>
          <w:sz w:val="22"/>
        </w:rPr>
        <w:t> </w:t>
      </w:r>
      <w:r>
        <w:rPr>
          <w:sz w:val="22"/>
        </w:rPr>
        <w:t>living arrangements,</w:t>
      </w:r>
      <w:r>
        <w:rPr>
          <w:spacing w:val="-3"/>
          <w:sz w:val="22"/>
        </w:rPr>
        <w:t> </w:t>
      </w:r>
      <w:r>
        <w:rPr>
          <w:sz w:val="22"/>
        </w:rPr>
        <w:t>etc.</w:t>
      </w:r>
    </w:p>
    <w:p>
      <w:pPr>
        <w:pStyle w:val="ListParagraph"/>
        <w:numPr>
          <w:ilvl w:val="0"/>
          <w:numId w:val="1"/>
        </w:numPr>
        <w:tabs>
          <w:tab w:pos="1341" w:val="left" w:leader="none"/>
        </w:tabs>
        <w:spacing w:line="240" w:lineRule="auto" w:before="111" w:after="0"/>
        <w:ind w:left="1340" w:right="276" w:hanging="360"/>
        <w:jc w:val="both"/>
        <w:rPr>
          <w:sz w:val="22"/>
        </w:rPr>
      </w:pPr>
      <w:r>
        <w:rPr>
          <w:b/>
          <w:sz w:val="22"/>
        </w:rPr>
        <w:t>Informal supporters should be encouraged to apply the same principles</w:t>
      </w:r>
      <w:r>
        <w:rPr>
          <w:sz w:val="22"/>
        </w:rPr>
        <w:t>, but if</w:t>
      </w:r>
      <w:r>
        <w:rPr>
          <w:spacing w:val="1"/>
          <w:sz w:val="22"/>
        </w:rPr>
        <w:t> </w:t>
      </w:r>
      <w:r>
        <w:rPr>
          <w:sz w:val="22"/>
        </w:rPr>
        <w:t>family members</w:t>
      </w:r>
      <w:r>
        <w:rPr>
          <w:spacing w:val="1"/>
          <w:sz w:val="22"/>
        </w:rPr>
        <w:t> </w:t>
      </w:r>
      <w:r>
        <w:rPr>
          <w:sz w:val="22"/>
        </w:rPr>
        <w:t>seek</w:t>
      </w:r>
      <w:r>
        <w:rPr>
          <w:spacing w:val="1"/>
          <w:sz w:val="22"/>
        </w:rPr>
        <w:t> </w:t>
      </w:r>
      <w:r>
        <w:rPr>
          <w:sz w:val="22"/>
        </w:rPr>
        <w:t>guardianship</w:t>
      </w:r>
      <w:r>
        <w:rPr>
          <w:spacing w:val="1"/>
          <w:sz w:val="22"/>
        </w:rPr>
        <w:t> </w:t>
      </w:r>
      <w:r>
        <w:rPr>
          <w:sz w:val="22"/>
        </w:rPr>
        <w:t>to protect the person</w:t>
      </w:r>
      <w:r>
        <w:rPr>
          <w:spacing w:val="1"/>
          <w:sz w:val="22"/>
        </w:rPr>
        <w:t> </w:t>
      </w:r>
      <w:r>
        <w:rPr>
          <w:sz w:val="22"/>
        </w:rPr>
        <w:t>from</w:t>
      </w:r>
      <w:r>
        <w:rPr>
          <w:spacing w:val="1"/>
          <w:sz w:val="22"/>
        </w:rPr>
        <w:t> </w:t>
      </w:r>
      <w:r>
        <w:rPr>
          <w:sz w:val="22"/>
        </w:rPr>
        <w:t>overly controlling</w:t>
      </w:r>
      <w:r>
        <w:rPr>
          <w:spacing w:val="1"/>
          <w:sz w:val="22"/>
        </w:rPr>
        <w:t> </w:t>
      </w:r>
      <w:r>
        <w:rPr>
          <w:sz w:val="22"/>
        </w:rPr>
        <w:t>external factors such as service providers, this information should be provided to</w:t>
      </w:r>
      <w:r>
        <w:rPr>
          <w:spacing w:val="1"/>
          <w:sz w:val="22"/>
        </w:rPr>
        <w:t> </w:t>
      </w:r>
      <w:r>
        <w:rPr>
          <w:sz w:val="22"/>
        </w:rPr>
        <w:t>QCAT and the Tribunal members should be required to give serious consideration</w:t>
      </w:r>
      <w:r>
        <w:rPr>
          <w:spacing w:val="1"/>
          <w:sz w:val="22"/>
        </w:rPr>
        <w:t> </w:t>
      </w:r>
      <w:r>
        <w:rPr>
          <w:sz w:val="22"/>
        </w:rPr>
        <w:t>to</w:t>
      </w:r>
      <w:r>
        <w:rPr>
          <w:spacing w:val="-59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relationship with</w:t>
      </w:r>
      <w:r>
        <w:rPr>
          <w:spacing w:val="-1"/>
          <w:sz w:val="22"/>
        </w:rPr>
        <w:t> </w:t>
      </w:r>
      <w:r>
        <w:rPr>
          <w:sz w:val="22"/>
        </w:rPr>
        <w:t>the service provider</w:t>
      </w:r>
      <w:r>
        <w:rPr>
          <w:spacing w:val="-4"/>
          <w:sz w:val="22"/>
        </w:rPr>
        <w:t> </w:t>
      </w:r>
      <w:r>
        <w:rPr>
          <w:sz w:val="22"/>
        </w:rPr>
        <w:t>and informal</w:t>
      </w:r>
      <w:r>
        <w:rPr>
          <w:spacing w:val="-6"/>
          <w:sz w:val="22"/>
        </w:rPr>
        <w:t> </w:t>
      </w:r>
      <w:r>
        <w:rPr>
          <w:sz w:val="22"/>
        </w:rPr>
        <w:t>supporters.</w:t>
      </w:r>
    </w:p>
    <w:p>
      <w:pPr>
        <w:pStyle w:val="ListParagraph"/>
        <w:numPr>
          <w:ilvl w:val="0"/>
          <w:numId w:val="1"/>
        </w:numPr>
        <w:tabs>
          <w:tab w:pos="1341" w:val="left" w:leader="none"/>
        </w:tabs>
        <w:spacing w:line="240" w:lineRule="auto" w:before="127" w:after="0"/>
        <w:ind w:left="1340" w:right="276" w:hanging="360"/>
        <w:jc w:val="both"/>
        <w:rPr>
          <w:sz w:val="22"/>
        </w:rPr>
      </w:pPr>
      <w:r>
        <w:rPr>
          <w:sz w:val="22"/>
        </w:rPr>
        <w:t>Where</w:t>
      </w:r>
      <w:r>
        <w:rPr>
          <w:spacing w:val="1"/>
          <w:sz w:val="22"/>
        </w:rPr>
        <w:t> </w:t>
      </w:r>
      <w:r>
        <w:rPr>
          <w:sz w:val="22"/>
        </w:rPr>
        <w:t>family members</w:t>
      </w:r>
      <w:r>
        <w:rPr>
          <w:spacing w:val="1"/>
          <w:sz w:val="22"/>
        </w:rPr>
        <w:t> </w:t>
      </w:r>
      <w:r>
        <w:rPr>
          <w:sz w:val="22"/>
        </w:rPr>
        <w:t>have taken</w:t>
      </w:r>
      <w:r>
        <w:rPr>
          <w:spacing w:val="1"/>
          <w:sz w:val="22"/>
        </w:rPr>
        <w:t> </w:t>
      </w:r>
      <w:r>
        <w:rPr>
          <w:sz w:val="22"/>
        </w:rPr>
        <w:t>formal guardianship</w:t>
      </w:r>
      <w:r>
        <w:rPr>
          <w:spacing w:val="1"/>
          <w:sz w:val="22"/>
        </w:rPr>
        <w:t> </w:t>
      </w:r>
      <w:r>
        <w:rPr>
          <w:sz w:val="22"/>
        </w:rPr>
        <w:t>because</w:t>
      </w:r>
      <w:r>
        <w:rPr>
          <w:spacing w:val="1"/>
          <w:sz w:val="22"/>
        </w:rPr>
        <w:t> </w:t>
      </w:r>
      <w:r>
        <w:rPr>
          <w:sz w:val="22"/>
        </w:rPr>
        <w:t>of the</w:t>
      </w:r>
      <w:r>
        <w:rPr>
          <w:spacing w:val="61"/>
          <w:sz w:val="22"/>
        </w:rPr>
        <w:t> </w:t>
      </w:r>
      <w:r>
        <w:rPr>
          <w:sz w:val="22"/>
        </w:rPr>
        <w:t>difficulties</w:t>
      </w:r>
      <w:r>
        <w:rPr>
          <w:spacing w:val="-59"/>
          <w:sz w:val="22"/>
        </w:rPr>
        <w:t> </w:t>
      </w:r>
      <w:r>
        <w:rPr>
          <w:sz w:val="22"/>
        </w:rPr>
        <w:t>that they encounter with telcos, banks etc, this points to a clear need for community</w:t>
      </w:r>
      <w:r>
        <w:rPr>
          <w:spacing w:val="1"/>
          <w:sz w:val="22"/>
        </w:rPr>
        <w:t> </w:t>
      </w:r>
      <w:r>
        <w:rPr>
          <w:sz w:val="22"/>
        </w:rPr>
        <w:t>education</w:t>
      </w:r>
      <w:r>
        <w:rPr>
          <w:spacing w:val="1"/>
          <w:sz w:val="22"/>
        </w:rPr>
        <w:t> </w:t>
      </w:r>
      <w:r>
        <w:rPr>
          <w:sz w:val="22"/>
        </w:rPr>
        <w:t>about</w:t>
      </w:r>
      <w:r>
        <w:rPr>
          <w:spacing w:val="1"/>
          <w:sz w:val="22"/>
        </w:rPr>
        <w:t> </w:t>
      </w:r>
      <w:r>
        <w:rPr>
          <w:sz w:val="22"/>
        </w:rPr>
        <w:t>guardianship</w:t>
      </w:r>
      <w:r>
        <w:rPr>
          <w:spacing w:val="1"/>
          <w:sz w:val="22"/>
        </w:rPr>
        <w:t> </w:t>
      </w:r>
      <w:r>
        <w:rPr>
          <w:sz w:val="22"/>
        </w:rPr>
        <w:t>being</w:t>
      </w:r>
      <w:r>
        <w:rPr>
          <w:spacing w:val="1"/>
          <w:sz w:val="22"/>
        </w:rPr>
        <w:t> </w:t>
      </w:r>
      <w:r>
        <w:rPr>
          <w:sz w:val="22"/>
        </w:rPr>
        <w:t>the</w:t>
      </w:r>
      <w:r>
        <w:rPr>
          <w:spacing w:val="1"/>
          <w:sz w:val="22"/>
        </w:rPr>
        <w:t> </w:t>
      </w:r>
      <w:r>
        <w:rPr>
          <w:sz w:val="22"/>
        </w:rPr>
        <w:t>last</w:t>
      </w:r>
      <w:r>
        <w:rPr>
          <w:spacing w:val="1"/>
          <w:sz w:val="22"/>
        </w:rPr>
        <w:t> </w:t>
      </w:r>
      <w:r>
        <w:rPr>
          <w:sz w:val="22"/>
        </w:rPr>
        <w:t>resort</w:t>
      </w:r>
      <w:r>
        <w:rPr>
          <w:spacing w:val="1"/>
          <w:sz w:val="22"/>
        </w:rPr>
        <w:t> </w:t>
      </w:r>
      <w:r>
        <w:rPr>
          <w:sz w:val="22"/>
        </w:rPr>
        <w:t>and</w:t>
      </w:r>
      <w:r>
        <w:rPr>
          <w:spacing w:val="1"/>
          <w:sz w:val="22"/>
        </w:rPr>
        <w:t> </w:t>
      </w:r>
      <w:r>
        <w:rPr>
          <w:sz w:val="22"/>
        </w:rPr>
        <w:t>least</w:t>
      </w:r>
      <w:r>
        <w:rPr>
          <w:spacing w:val="1"/>
          <w:sz w:val="22"/>
        </w:rPr>
        <w:t> </w:t>
      </w:r>
      <w:r>
        <w:rPr>
          <w:sz w:val="22"/>
        </w:rPr>
        <w:t>restrictive</w:t>
      </w:r>
      <w:r>
        <w:rPr>
          <w:spacing w:val="1"/>
          <w:sz w:val="22"/>
        </w:rPr>
        <w:t> </w:t>
      </w:r>
      <w:r>
        <w:rPr>
          <w:sz w:val="22"/>
        </w:rPr>
        <w:t>–</w:t>
      </w:r>
      <w:r>
        <w:rPr>
          <w:spacing w:val="1"/>
          <w:sz w:val="22"/>
        </w:rPr>
        <w:t> </w:t>
      </w:r>
      <w:r>
        <w:rPr>
          <w:b/>
          <w:sz w:val="22"/>
        </w:rPr>
        <w:t>the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community must respond to informal supporters</w:t>
      </w:r>
      <w:r>
        <w:rPr>
          <w:sz w:val="22"/>
        </w:rPr>
        <w:t>.</w:t>
      </w:r>
      <w:r>
        <w:rPr>
          <w:spacing w:val="1"/>
          <w:sz w:val="22"/>
        </w:rPr>
        <w:t> </w:t>
      </w:r>
      <w:r>
        <w:rPr>
          <w:sz w:val="22"/>
        </w:rPr>
        <w:t>Government has a role to play</w:t>
      </w:r>
      <w:r>
        <w:rPr>
          <w:spacing w:val="-59"/>
          <w:sz w:val="22"/>
        </w:rPr>
        <w:t> </w:t>
      </w:r>
      <w:r>
        <w:rPr>
          <w:sz w:val="22"/>
        </w:rPr>
        <w:t>in providing</w:t>
      </w:r>
      <w:r>
        <w:rPr>
          <w:spacing w:val="1"/>
          <w:sz w:val="22"/>
        </w:rPr>
        <w:t> </w:t>
      </w:r>
      <w:r>
        <w:rPr>
          <w:sz w:val="22"/>
        </w:rPr>
        <w:t>community education with assistance from peaks such as Business</w:t>
      </w:r>
      <w:r>
        <w:rPr>
          <w:spacing w:val="1"/>
          <w:sz w:val="22"/>
        </w:rPr>
        <w:t> </w:t>
      </w:r>
      <w:r>
        <w:rPr>
          <w:sz w:val="22"/>
        </w:rPr>
        <w:t>Councils,</w:t>
      </w:r>
      <w:r>
        <w:rPr>
          <w:spacing w:val="-4"/>
          <w:sz w:val="22"/>
        </w:rPr>
        <w:t> </w:t>
      </w:r>
      <w:r>
        <w:rPr>
          <w:sz w:val="22"/>
        </w:rPr>
        <w:t>Chambers of</w:t>
      </w:r>
      <w:r>
        <w:rPr>
          <w:spacing w:val="-3"/>
          <w:sz w:val="22"/>
        </w:rPr>
        <w:t> </w:t>
      </w:r>
      <w:r>
        <w:rPr>
          <w:sz w:val="22"/>
        </w:rPr>
        <w:t>Commerce,</w:t>
      </w:r>
      <w:r>
        <w:rPr>
          <w:spacing w:val="-2"/>
          <w:sz w:val="22"/>
        </w:rPr>
        <w:t> </w:t>
      </w:r>
      <w:r>
        <w:rPr>
          <w:sz w:val="22"/>
        </w:rPr>
        <w:t>banks,</w:t>
      </w:r>
      <w:r>
        <w:rPr>
          <w:spacing w:val="-3"/>
          <w:sz w:val="22"/>
        </w:rPr>
        <w:t> </w:t>
      </w:r>
      <w:r>
        <w:rPr>
          <w:sz w:val="22"/>
        </w:rPr>
        <w:t>etc.</w:t>
      </w:r>
    </w:p>
    <w:p>
      <w:pPr>
        <w:pStyle w:val="ListParagraph"/>
        <w:numPr>
          <w:ilvl w:val="0"/>
          <w:numId w:val="1"/>
        </w:numPr>
        <w:tabs>
          <w:tab w:pos="1341" w:val="left" w:leader="none"/>
        </w:tabs>
        <w:spacing w:line="240" w:lineRule="auto" w:before="119" w:after="0"/>
        <w:ind w:left="1340" w:right="277" w:hanging="360"/>
        <w:jc w:val="both"/>
        <w:rPr>
          <w:sz w:val="22"/>
        </w:rPr>
      </w:pPr>
      <w:r>
        <w:rPr>
          <w:sz w:val="22"/>
        </w:rPr>
        <w:t>It must be recognised that some people may apply for guardianship in order to exert</w:t>
      </w:r>
      <w:r>
        <w:rPr>
          <w:spacing w:val="1"/>
          <w:sz w:val="22"/>
        </w:rPr>
        <w:t> </w:t>
      </w:r>
      <w:r>
        <w:rPr>
          <w:sz w:val="22"/>
        </w:rPr>
        <w:t>control over the person, for ease of management or to exploit the person.</w:t>
      </w:r>
      <w:r>
        <w:rPr>
          <w:spacing w:val="1"/>
          <w:sz w:val="22"/>
        </w:rPr>
        <w:t> </w:t>
      </w:r>
      <w:r>
        <w:rPr>
          <w:sz w:val="22"/>
        </w:rPr>
        <w:t>While it</w:t>
      </w:r>
      <w:r>
        <w:rPr>
          <w:spacing w:val="1"/>
          <w:sz w:val="22"/>
        </w:rPr>
        <w:t> </w:t>
      </w:r>
      <w:r>
        <w:rPr>
          <w:sz w:val="22"/>
        </w:rPr>
        <w:t>may</w:t>
      </w:r>
      <w:r>
        <w:rPr>
          <w:spacing w:val="1"/>
          <w:sz w:val="22"/>
        </w:rPr>
        <w:t> </w:t>
      </w:r>
      <w:r>
        <w:rPr>
          <w:sz w:val="22"/>
        </w:rPr>
        <w:t>be</w:t>
      </w:r>
      <w:r>
        <w:rPr>
          <w:spacing w:val="1"/>
          <w:sz w:val="22"/>
        </w:rPr>
        <w:t> </w:t>
      </w:r>
      <w:r>
        <w:rPr>
          <w:sz w:val="22"/>
        </w:rPr>
        <w:t>difficult</w:t>
      </w:r>
      <w:r>
        <w:rPr>
          <w:spacing w:val="1"/>
          <w:sz w:val="22"/>
        </w:rPr>
        <w:t> </w:t>
      </w:r>
      <w:r>
        <w:rPr>
          <w:sz w:val="22"/>
        </w:rPr>
        <w:t>to</w:t>
      </w:r>
      <w:r>
        <w:rPr>
          <w:spacing w:val="1"/>
          <w:sz w:val="22"/>
        </w:rPr>
        <w:t> </w:t>
      </w:r>
      <w:r>
        <w:rPr>
          <w:sz w:val="22"/>
        </w:rPr>
        <w:t>have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range</w:t>
      </w:r>
      <w:r>
        <w:rPr>
          <w:spacing w:val="1"/>
          <w:sz w:val="22"/>
        </w:rPr>
        <w:t> </w:t>
      </w:r>
      <w:r>
        <w:rPr>
          <w:sz w:val="22"/>
        </w:rPr>
        <w:t>of</w:t>
      </w:r>
      <w:r>
        <w:rPr>
          <w:spacing w:val="1"/>
          <w:sz w:val="22"/>
        </w:rPr>
        <w:t> </w:t>
      </w:r>
      <w:r>
        <w:rPr>
          <w:sz w:val="22"/>
        </w:rPr>
        <w:t>responses</w:t>
      </w:r>
      <w:r>
        <w:rPr>
          <w:spacing w:val="1"/>
          <w:sz w:val="22"/>
        </w:rPr>
        <w:t> </w:t>
      </w:r>
      <w:r>
        <w:rPr>
          <w:sz w:val="22"/>
        </w:rPr>
        <w:t>to</w:t>
      </w:r>
      <w:r>
        <w:rPr>
          <w:spacing w:val="1"/>
          <w:sz w:val="22"/>
        </w:rPr>
        <w:t> </w:t>
      </w:r>
      <w:r>
        <w:rPr>
          <w:sz w:val="22"/>
        </w:rPr>
        <w:t>the</w:t>
      </w:r>
      <w:r>
        <w:rPr>
          <w:spacing w:val="1"/>
          <w:sz w:val="22"/>
        </w:rPr>
        <w:t> </w:t>
      </w:r>
      <w:r>
        <w:rPr>
          <w:sz w:val="22"/>
        </w:rPr>
        <w:t>reasons</w:t>
      </w:r>
      <w:r>
        <w:rPr>
          <w:spacing w:val="1"/>
          <w:sz w:val="22"/>
        </w:rPr>
        <w:t> </w:t>
      </w:r>
      <w:r>
        <w:rPr>
          <w:sz w:val="22"/>
        </w:rPr>
        <w:t>for</w:t>
      </w:r>
      <w:r>
        <w:rPr>
          <w:spacing w:val="1"/>
          <w:sz w:val="22"/>
        </w:rPr>
        <w:t> </w:t>
      </w:r>
      <w:r>
        <w:rPr>
          <w:sz w:val="22"/>
        </w:rPr>
        <w:t>guardianship</w:t>
      </w:r>
      <w:r>
        <w:rPr>
          <w:spacing w:val="-59"/>
          <w:sz w:val="22"/>
        </w:rPr>
        <w:t> </w:t>
      </w:r>
      <w:r>
        <w:rPr>
          <w:sz w:val="22"/>
        </w:rPr>
        <w:t>applications, the requirement to abide by the General Principles will hopefully see a</w:t>
      </w:r>
      <w:r>
        <w:rPr>
          <w:spacing w:val="1"/>
          <w:sz w:val="22"/>
        </w:rPr>
        <w:t> </w:t>
      </w:r>
      <w:r>
        <w:rPr>
          <w:sz w:val="22"/>
        </w:rPr>
        <w:t>reduction</w:t>
      </w:r>
      <w:r>
        <w:rPr>
          <w:spacing w:val="-1"/>
          <w:sz w:val="22"/>
        </w:rPr>
        <w:t> </w:t>
      </w:r>
      <w:r>
        <w:rPr>
          <w:sz w:val="22"/>
        </w:rPr>
        <w:t>in applications.</w:t>
      </w:r>
    </w:p>
    <w:p>
      <w:pPr>
        <w:spacing w:line="242" w:lineRule="auto" w:before="115"/>
        <w:ind w:left="620" w:right="275" w:firstLine="0"/>
        <w:jc w:val="both"/>
        <w:rPr>
          <w:sz w:val="22"/>
        </w:rPr>
      </w:pPr>
      <w:r>
        <w:rPr>
          <w:sz w:val="22"/>
        </w:rPr>
        <w:t>QAI</w:t>
      </w:r>
      <w:r>
        <w:rPr>
          <w:spacing w:val="1"/>
          <w:sz w:val="22"/>
        </w:rPr>
        <w:t> </w:t>
      </w:r>
      <w:r>
        <w:rPr>
          <w:sz w:val="22"/>
        </w:rPr>
        <w:t>submits</w:t>
      </w:r>
      <w:r>
        <w:rPr>
          <w:spacing w:val="1"/>
          <w:sz w:val="22"/>
        </w:rPr>
        <w:t> </w:t>
      </w:r>
      <w:r>
        <w:rPr>
          <w:sz w:val="22"/>
        </w:rPr>
        <w:t>that</w:t>
      </w:r>
      <w:r>
        <w:rPr>
          <w:spacing w:val="1"/>
          <w:sz w:val="22"/>
        </w:rPr>
        <w:t> </w:t>
      </w:r>
      <w:r>
        <w:rPr>
          <w:b/>
          <w:sz w:val="22"/>
        </w:rPr>
        <w:t>there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should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be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a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framework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of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relevant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factors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that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must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be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addressed in such consultations, with a requirement that the least restrictive/last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resort principle be applied.</w:t>
      </w:r>
      <w:r>
        <w:rPr>
          <w:b/>
          <w:spacing w:val="1"/>
          <w:sz w:val="22"/>
        </w:rPr>
        <w:t> </w:t>
      </w:r>
      <w:r>
        <w:rPr>
          <w:sz w:val="22"/>
        </w:rPr>
        <w:t>QAI also seeks clarity regarding the impact of any amendment</w:t>
      </w:r>
      <w:r>
        <w:rPr>
          <w:spacing w:val="-59"/>
          <w:sz w:val="22"/>
        </w:rPr>
        <w:t> </w:t>
      </w:r>
      <w:r>
        <w:rPr>
          <w:sz w:val="22"/>
        </w:rPr>
        <w:t>on</w:t>
      </w:r>
      <w:r>
        <w:rPr>
          <w:spacing w:val="-1"/>
          <w:sz w:val="22"/>
        </w:rPr>
        <w:t> </w:t>
      </w:r>
      <w:r>
        <w:rPr>
          <w:sz w:val="22"/>
        </w:rPr>
        <w:t>the operation of</w:t>
      </w:r>
      <w:r>
        <w:rPr>
          <w:spacing w:val="-3"/>
          <w:sz w:val="22"/>
        </w:rPr>
        <w:t> </w:t>
      </w:r>
      <w:r>
        <w:rPr>
          <w:sz w:val="22"/>
        </w:rPr>
        <w:t>the new</w:t>
      </w:r>
      <w:r>
        <w:rPr>
          <w:spacing w:val="-4"/>
          <w:sz w:val="22"/>
        </w:rPr>
        <w:t> </w:t>
      </w:r>
      <w:r>
        <w:rPr>
          <w:sz w:val="22"/>
        </w:rPr>
        <w:t>MHA 2016.</w:t>
      </w:r>
    </w:p>
    <w:p>
      <w:pPr>
        <w:spacing w:after="0" w:line="242" w:lineRule="auto"/>
        <w:jc w:val="both"/>
        <w:rPr>
          <w:sz w:val="22"/>
        </w:rPr>
        <w:sectPr>
          <w:pgSz w:w="11910" w:h="16840"/>
          <w:pgMar w:header="0" w:footer="1907" w:top="1080" w:bottom="2120" w:left="820" w:right="1160"/>
        </w:sectPr>
      </w:pPr>
    </w:p>
    <w:p>
      <w:pPr>
        <w:pStyle w:val="Heading3"/>
        <w:spacing w:before="70"/>
      </w:pPr>
      <w:r>
        <w:rPr>
          <w:color w:val="4F81BC"/>
        </w:rPr>
        <w:t>Special</w:t>
      </w:r>
      <w:r>
        <w:rPr>
          <w:color w:val="4F81BC"/>
          <w:spacing w:val="-7"/>
        </w:rPr>
        <w:t> </w:t>
      </w:r>
      <w:r>
        <w:rPr>
          <w:color w:val="4F81BC"/>
        </w:rPr>
        <w:t>Witness</w:t>
      </w:r>
      <w:r>
        <w:rPr>
          <w:color w:val="4F81BC"/>
          <w:spacing w:val="-3"/>
        </w:rPr>
        <w:t> </w:t>
      </w:r>
      <w:r>
        <w:rPr>
          <w:color w:val="4F81BC"/>
        </w:rPr>
        <w:t>Provisions</w:t>
      </w:r>
      <w:r>
        <w:rPr>
          <w:color w:val="4F81BC"/>
          <w:spacing w:val="-1"/>
        </w:rPr>
        <w:t> </w:t>
      </w:r>
      <w:r>
        <w:rPr>
          <w:color w:val="4F81BC"/>
        </w:rPr>
        <w:t>(Clause</w:t>
      </w:r>
      <w:r>
        <w:rPr>
          <w:color w:val="4F81BC"/>
          <w:spacing w:val="-3"/>
        </w:rPr>
        <w:t> </w:t>
      </w:r>
      <w:r>
        <w:rPr>
          <w:color w:val="4F81BC"/>
        </w:rPr>
        <w:t>27)</w:t>
      </w:r>
    </w:p>
    <w:p>
      <w:pPr>
        <w:spacing w:line="240" w:lineRule="auto" w:before="119"/>
        <w:ind w:left="620" w:right="272" w:firstLine="0"/>
        <w:jc w:val="both"/>
        <w:rPr>
          <w:sz w:val="22"/>
        </w:rPr>
      </w:pPr>
      <w:r>
        <w:rPr>
          <w:b/>
          <w:sz w:val="22"/>
        </w:rPr>
        <w:t>QAI supports the extension of the vulnerable witness protections </w:t>
      </w:r>
      <w:r>
        <w:rPr>
          <w:sz w:val="22"/>
        </w:rPr>
        <w:t>contained in s 99 of</w:t>
      </w:r>
      <w:r>
        <w:rPr>
          <w:spacing w:val="1"/>
          <w:sz w:val="22"/>
        </w:rPr>
        <w:t> </w:t>
      </w:r>
      <w:r>
        <w:rPr>
          <w:sz w:val="22"/>
        </w:rPr>
        <w:t>the</w:t>
      </w:r>
      <w:r>
        <w:rPr>
          <w:spacing w:val="1"/>
          <w:sz w:val="22"/>
        </w:rPr>
        <w:t> </w:t>
      </w:r>
      <w:r>
        <w:rPr>
          <w:i/>
          <w:sz w:val="22"/>
        </w:rPr>
        <w:t>Queensland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Civil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and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Administrative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Tribunal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Act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2009</w:t>
      </w:r>
      <w:r>
        <w:rPr>
          <w:i/>
          <w:spacing w:val="1"/>
          <w:sz w:val="22"/>
        </w:rPr>
        <w:t> </w:t>
      </w:r>
      <w:r>
        <w:rPr>
          <w:sz w:val="22"/>
        </w:rPr>
        <w:t>(Qld)</w:t>
      </w:r>
      <w:r>
        <w:rPr>
          <w:spacing w:val="1"/>
          <w:sz w:val="22"/>
        </w:rPr>
        <w:t> </w:t>
      </w:r>
      <w:r>
        <w:rPr>
          <w:sz w:val="22"/>
        </w:rPr>
        <w:t>to</w:t>
      </w:r>
      <w:r>
        <w:rPr>
          <w:spacing w:val="1"/>
          <w:sz w:val="22"/>
        </w:rPr>
        <w:t> </w:t>
      </w:r>
      <w:r>
        <w:rPr>
          <w:sz w:val="22"/>
        </w:rPr>
        <w:t>guardianship</w:t>
      </w:r>
      <w:r>
        <w:rPr>
          <w:spacing w:val="1"/>
          <w:sz w:val="22"/>
        </w:rPr>
        <w:t> </w:t>
      </w:r>
      <w:r>
        <w:rPr>
          <w:sz w:val="22"/>
        </w:rPr>
        <w:t>proceedings.</w:t>
      </w:r>
    </w:p>
    <w:p>
      <w:pPr>
        <w:pStyle w:val="Heading3"/>
        <w:spacing w:before="117"/>
      </w:pPr>
      <w:r>
        <w:rPr>
          <w:color w:val="4F81BC"/>
        </w:rPr>
        <w:t>Power</w:t>
      </w:r>
      <w:r>
        <w:rPr>
          <w:color w:val="4F81BC"/>
          <w:spacing w:val="-6"/>
        </w:rPr>
        <w:t> </w:t>
      </w:r>
      <w:r>
        <w:rPr>
          <w:color w:val="4F81BC"/>
        </w:rPr>
        <w:t>to</w:t>
      </w:r>
      <w:r>
        <w:rPr>
          <w:color w:val="4F81BC"/>
          <w:spacing w:val="1"/>
        </w:rPr>
        <w:t> </w:t>
      </w:r>
      <w:r>
        <w:rPr>
          <w:color w:val="4F81BC"/>
        </w:rPr>
        <w:t>Appoint</w:t>
      </w:r>
      <w:r>
        <w:rPr>
          <w:color w:val="4F81BC"/>
          <w:spacing w:val="-6"/>
        </w:rPr>
        <w:t> </w:t>
      </w:r>
      <w:r>
        <w:rPr>
          <w:color w:val="4F81BC"/>
        </w:rPr>
        <w:t>a</w:t>
      </w:r>
      <w:r>
        <w:rPr>
          <w:color w:val="4F81BC"/>
          <w:spacing w:val="-2"/>
        </w:rPr>
        <w:t> </w:t>
      </w:r>
      <w:r>
        <w:rPr>
          <w:color w:val="4F81BC"/>
        </w:rPr>
        <w:t>Representative</w:t>
      </w:r>
      <w:r>
        <w:rPr>
          <w:color w:val="4F81BC"/>
          <w:spacing w:val="2"/>
        </w:rPr>
        <w:t> </w:t>
      </w:r>
      <w:r>
        <w:rPr>
          <w:color w:val="4F81BC"/>
        </w:rPr>
        <w:t>(Clause</w:t>
      </w:r>
      <w:r>
        <w:rPr>
          <w:color w:val="4F81BC"/>
          <w:spacing w:val="-3"/>
        </w:rPr>
        <w:t> </w:t>
      </w:r>
      <w:r>
        <w:rPr>
          <w:color w:val="4F81BC"/>
        </w:rPr>
        <w:t>29)</w:t>
      </w:r>
    </w:p>
    <w:p>
      <w:pPr>
        <w:spacing w:line="240" w:lineRule="auto" w:before="123"/>
        <w:ind w:left="620" w:right="276" w:firstLine="0"/>
        <w:jc w:val="both"/>
        <w:rPr>
          <w:sz w:val="22"/>
        </w:rPr>
      </w:pPr>
      <w:r>
        <w:rPr>
          <w:b/>
          <w:sz w:val="22"/>
        </w:rPr>
        <w:t>QAI supports the amendment of s 125 of the GAA to permit any member of QCAT to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appoint a representative for an adult, where they are concerned the adult’s views,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wishes and preferences are not being properly represented.   </w:t>
      </w:r>
      <w:r>
        <w:rPr>
          <w:sz w:val="22"/>
        </w:rPr>
        <w:t>If a person does not have</w:t>
      </w:r>
      <w:r>
        <w:rPr>
          <w:spacing w:val="1"/>
          <w:sz w:val="22"/>
        </w:rPr>
        <w:t> </w:t>
      </w:r>
      <w:r>
        <w:rPr>
          <w:sz w:val="22"/>
        </w:rPr>
        <w:t>a support person or advocate or if they cannot attend the hearing, the Tribunal members will</w:t>
      </w:r>
      <w:r>
        <w:rPr>
          <w:spacing w:val="1"/>
          <w:sz w:val="22"/>
        </w:rPr>
        <w:t> </w:t>
      </w:r>
      <w:r>
        <w:rPr>
          <w:sz w:val="22"/>
        </w:rPr>
        <w:t>often only hear the version presented by the applicant for the order and will not consider the</w:t>
      </w:r>
      <w:r>
        <w:rPr>
          <w:spacing w:val="1"/>
          <w:sz w:val="22"/>
        </w:rPr>
        <w:t> </w:t>
      </w:r>
      <w:r>
        <w:rPr>
          <w:sz w:val="22"/>
        </w:rPr>
        <w:t>person’s</w:t>
      </w:r>
      <w:r>
        <w:rPr>
          <w:spacing w:val="-1"/>
          <w:sz w:val="22"/>
        </w:rPr>
        <w:t> </w:t>
      </w:r>
      <w:r>
        <w:rPr>
          <w:sz w:val="22"/>
        </w:rPr>
        <w:t>rights.</w:t>
      </w:r>
    </w:p>
    <w:p>
      <w:pPr>
        <w:pStyle w:val="BodyText"/>
        <w:spacing w:before="123"/>
        <w:ind w:left="620" w:right="275"/>
        <w:jc w:val="both"/>
      </w:pPr>
      <w:r>
        <w:rPr/>
        <w:t>QAI submits that, in circumstances where the person or their support person/advocate/legal</w:t>
      </w:r>
      <w:r>
        <w:rPr>
          <w:spacing w:val="1"/>
        </w:rPr>
        <w:t> </w:t>
      </w:r>
      <w:r>
        <w:rPr/>
        <w:t>representative cannot attend, consideration should be given to adjourning the hearing until</w:t>
      </w:r>
      <w:r>
        <w:rPr>
          <w:spacing w:val="1"/>
        </w:rPr>
        <w:t> </w:t>
      </w:r>
      <w:r>
        <w:rPr/>
        <w:t>such time as the person and their support people can attend.   A relevant consideration in</w:t>
      </w:r>
      <w:r>
        <w:rPr>
          <w:spacing w:val="1"/>
        </w:rPr>
        <w:t> </w:t>
      </w:r>
      <w:r>
        <w:rPr/>
        <w:t>this regard is the risk that this could potentially see an increase in ‘on the papers’ decision</w:t>
      </w:r>
      <w:r>
        <w:rPr>
          <w:spacing w:val="1"/>
        </w:rPr>
        <w:t> </w:t>
      </w:r>
      <w:r>
        <w:rPr/>
        <w:t>and/or orders being extended or interim orders being made – QAI asserts that this should be</w:t>
      </w:r>
      <w:r>
        <w:rPr>
          <w:spacing w:val="-59"/>
        </w:rPr>
        <w:t> </w:t>
      </w:r>
      <w:r>
        <w:rPr/>
        <w:t>avoided as much as possible.</w:t>
      </w:r>
      <w:r>
        <w:rPr>
          <w:spacing w:val="1"/>
        </w:rPr>
        <w:t> </w:t>
      </w:r>
      <w:r>
        <w:rPr/>
        <w:t>The overriding consideration should be to ensure that all</w:t>
      </w:r>
      <w:r>
        <w:rPr>
          <w:spacing w:val="1"/>
        </w:rPr>
        <w:t> </w:t>
      </w:r>
      <w:r>
        <w:rPr/>
        <w:t>measures are taken to enable the person and their support persons to be prepared and</w:t>
      </w:r>
      <w:r>
        <w:rPr>
          <w:spacing w:val="1"/>
        </w:rPr>
        <w:t> </w:t>
      </w:r>
      <w:r>
        <w:rPr/>
        <w:t>attend in person, by phone or video-linkage, and to guard against the practice of scheduling</w:t>
      </w:r>
      <w:r>
        <w:rPr>
          <w:spacing w:val="1"/>
        </w:rPr>
        <w:t> </w:t>
      </w:r>
      <w:r>
        <w:rPr/>
        <w:t>hearings without</w:t>
      </w:r>
      <w:r>
        <w:rPr>
          <w:spacing w:val="-4"/>
        </w:rPr>
        <w:t> </w:t>
      </w:r>
      <w:r>
        <w:rPr/>
        <w:t>sufficient</w:t>
      </w:r>
      <w:r>
        <w:rPr>
          <w:spacing w:val="-4"/>
        </w:rPr>
        <w:t> </w:t>
      </w:r>
      <w:r>
        <w:rPr/>
        <w:t>notice</w:t>
      </w:r>
      <w:r>
        <w:rPr>
          <w:spacing w:val="-1"/>
        </w:rPr>
        <w:t> </w:t>
      </w:r>
      <w:r>
        <w:rPr/>
        <w:t>or</w:t>
      </w:r>
      <w:r>
        <w:rPr>
          <w:spacing w:val="-3"/>
        </w:rPr>
        <w:t> </w:t>
      </w:r>
      <w:r>
        <w:rPr/>
        <w:t>consideration</w:t>
      </w:r>
      <w:r>
        <w:rPr>
          <w:spacing w:val="4"/>
        </w:rPr>
        <w:t> </w:t>
      </w:r>
      <w:r>
        <w:rPr/>
        <w:t>of</w:t>
      </w:r>
      <w:r>
        <w:rPr>
          <w:spacing w:val="-4"/>
        </w:rPr>
        <w:t> </w:t>
      </w:r>
      <w:r>
        <w:rPr/>
        <w:t>the</w:t>
      </w:r>
      <w:r>
        <w:rPr>
          <w:spacing w:val="-1"/>
        </w:rPr>
        <w:t> </w:t>
      </w:r>
      <w:r>
        <w:rPr/>
        <w:t>person’s</w:t>
      </w:r>
      <w:r>
        <w:rPr>
          <w:spacing w:val="-1"/>
        </w:rPr>
        <w:t> </w:t>
      </w:r>
      <w:r>
        <w:rPr/>
        <w:t>support</w:t>
      </w:r>
      <w:r>
        <w:rPr>
          <w:spacing w:val="-4"/>
        </w:rPr>
        <w:t> </w:t>
      </w:r>
      <w:r>
        <w:rPr/>
        <w:t>needs.</w:t>
      </w:r>
    </w:p>
    <w:p>
      <w:pPr>
        <w:pStyle w:val="Heading3"/>
        <w:spacing w:before="115"/>
      </w:pPr>
      <w:r>
        <w:rPr>
          <w:color w:val="4F81BC"/>
        </w:rPr>
        <w:t>Interim</w:t>
      </w:r>
      <w:r>
        <w:rPr>
          <w:color w:val="4F81BC"/>
          <w:spacing w:val="-4"/>
        </w:rPr>
        <w:t> </w:t>
      </w:r>
      <w:r>
        <w:rPr>
          <w:color w:val="4F81BC"/>
        </w:rPr>
        <w:t>Orders</w:t>
      </w:r>
      <w:r>
        <w:rPr>
          <w:color w:val="4F81BC"/>
          <w:spacing w:val="-1"/>
        </w:rPr>
        <w:t> </w:t>
      </w:r>
      <w:r>
        <w:rPr>
          <w:color w:val="4F81BC"/>
        </w:rPr>
        <w:t>(Clause</w:t>
      </w:r>
      <w:r>
        <w:rPr>
          <w:color w:val="4F81BC"/>
          <w:spacing w:val="-3"/>
        </w:rPr>
        <w:t> </w:t>
      </w:r>
      <w:r>
        <w:rPr>
          <w:color w:val="4F81BC"/>
        </w:rPr>
        <w:t>30)</w:t>
      </w:r>
    </w:p>
    <w:p>
      <w:pPr>
        <w:spacing w:line="240" w:lineRule="auto" w:before="127"/>
        <w:ind w:left="620" w:right="275" w:firstLine="0"/>
        <w:jc w:val="both"/>
        <w:rPr>
          <w:b/>
          <w:sz w:val="22"/>
        </w:rPr>
      </w:pPr>
      <w:r>
        <w:rPr>
          <w:sz w:val="22"/>
        </w:rPr>
        <w:t>QAI is eminently concerned that current legislation and the proposed amendments are silent</w:t>
      </w:r>
      <w:r>
        <w:rPr>
          <w:spacing w:val="1"/>
          <w:sz w:val="22"/>
        </w:rPr>
        <w:t> </w:t>
      </w:r>
      <w:r>
        <w:rPr>
          <w:sz w:val="22"/>
        </w:rPr>
        <w:t>on the Tribunal consulting with the adult and family when making this type of order.   We</w:t>
      </w:r>
      <w:r>
        <w:rPr>
          <w:spacing w:val="1"/>
          <w:sz w:val="22"/>
        </w:rPr>
        <w:t> </w:t>
      </w:r>
      <w:r>
        <w:rPr>
          <w:sz w:val="22"/>
        </w:rPr>
        <w:t>know of cases where interim orders have been made without speaking to either of these</w:t>
      </w:r>
      <w:r>
        <w:rPr>
          <w:spacing w:val="1"/>
          <w:sz w:val="22"/>
        </w:rPr>
        <w:t> </w:t>
      </w:r>
      <w:r>
        <w:rPr>
          <w:sz w:val="22"/>
        </w:rPr>
        <w:t>parties.</w:t>
      </w:r>
      <w:r>
        <w:rPr>
          <w:spacing w:val="1"/>
          <w:sz w:val="22"/>
        </w:rPr>
        <w:t> </w:t>
      </w:r>
      <w:r>
        <w:rPr>
          <w:b/>
          <w:sz w:val="22"/>
        </w:rPr>
        <w:t>QAI is of the view that s 130 should </w:t>
      </w:r>
      <w:r>
        <w:rPr>
          <w:b/>
          <w:i/>
          <w:sz w:val="22"/>
        </w:rPr>
        <w:t>oblige </w:t>
      </w:r>
      <w:r>
        <w:rPr>
          <w:b/>
          <w:sz w:val="22"/>
        </w:rPr>
        <w:t>the Tribunal to consult, and given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the Tribunal’s practice in this regard to date, we submit that this requirement should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be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mandated in a more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enforceable way.</w:t>
      </w:r>
    </w:p>
    <w:p>
      <w:pPr>
        <w:pStyle w:val="Heading3"/>
        <w:spacing w:before="115"/>
      </w:pPr>
      <w:r>
        <w:rPr>
          <w:color w:val="4F81BC"/>
        </w:rPr>
        <w:t>Insertion</w:t>
      </w:r>
      <w:r>
        <w:rPr>
          <w:color w:val="4F81BC"/>
          <w:spacing w:val="-1"/>
        </w:rPr>
        <w:t> </w:t>
      </w:r>
      <w:r>
        <w:rPr>
          <w:color w:val="4F81BC"/>
        </w:rPr>
        <w:t>of</w:t>
      </w:r>
      <w:r>
        <w:rPr>
          <w:color w:val="4F81BC"/>
          <w:spacing w:val="-3"/>
        </w:rPr>
        <w:t> </w:t>
      </w:r>
      <w:r>
        <w:rPr>
          <w:color w:val="4F81BC"/>
        </w:rPr>
        <w:t>New</w:t>
      </w:r>
      <w:r>
        <w:rPr>
          <w:color w:val="4F81BC"/>
          <w:spacing w:val="-1"/>
        </w:rPr>
        <w:t> </w:t>
      </w:r>
      <w:r>
        <w:rPr>
          <w:color w:val="4F81BC"/>
        </w:rPr>
        <w:t>Chapter</w:t>
      </w:r>
      <w:r>
        <w:rPr>
          <w:color w:val="4F81BC"/>
          <w:spacing w:val="-3"/>
        </w:rPr>
        <w:t> </w:t>
      </w:r>
      <w:r>
        <w:rPr>
          <w:color w:val="4F81BC"/>
        </w:rPr>
        <w:t>11,</w:t>
      </w:r>
      <w:r>
        <w:rPr>
          <w:color w:val="4F81BC"/>
          <w:spacing w:val="-3"/>
        </w:rPr>
        <w:t> </w:t>
      </w:r>
      <w:r>
        <w:rPr>
          <w:color w:val="4F81BC"/>
        </w:rPr>
        <w:t>Part</w:t>
      </w:r>
      <w:r>
        <w:rPr>
          <w:color w:val="4F81BC"/>
          <w:spacing w:val="-3"/>
        </w:rPr>
        <w:t> </w:t>
      </w:r>
      <w:r>
        <w:rPr>
          <w:color w:val="4F81BC"/>
        </w:rPr>
        <w:t>4A</w:t>
      </w:r>
      <w:r>
        <w:rPr>
          <w:color w:val="4F81BC"/>
          <w:spacing w:val="-4"/>
        </w:rPr>
        <w:t> </w:t>
      </w:r>
      <w:r>
        <w:rPr>
          <w:color w:val="4F81BC"/>
        </w:rPr>
        <w:t>(Clause 34)</w:t>
      </w:r>
    </w:p>
    <w:p>
      <w:pPr>
        <w:spacing w:line="242" w:lineRule="auto" w:before="119"/>
        <w:ind w:left="620" w:right="276" w:firstLine="0"/>
        <w:jc w:val="both"/>
        <w:rPr>
          <w:sz w:val="22"/>
        </w:rPr>
      </w:pPr>
      <w:r>
        <w:rPr>
          <w:b/>
          <w:sz w:val="22"/>
        </w:rPr>
        <w:t>QAI supports the introduction of Part 4A and considers it a much-needed addition to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the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legislation.</w:t>
      </w:r>
      <w:r>
        <w:rPr>
          <w:b/>
          <w:spacing w:val="1"/>
          <w:sz w:val="22"/>
        </w:rPr>
        <w:t> </w:t>
      </w:r>
      <w:r>
        <w:rPr>
          <w:sz w:val="22"/>
        </w:rPr>
        <w:t>Section</w:t>
      </w:r>
      <w:r>
        <w:rPr>
          <w:spacing w:val="1"/>
          <w:sz w:val="22"/>
        </w:rPr>
        <w:t> </w:t>
      </w:r>
      <w:r>
        <w:rPr>
          <w:sz w:val="22"/>
        </w:rPr>
        <w:t>250</w:t>
      </w:r>
      <w:r>
        <w:rPr>
          <w:spacing w:val="1"/>
          <w:sz w:val="22"/>
        </w:rPr>
        <w:t> </w:t>
      </w:r>
      <w:r>
        <w:rPr>
          <w:sz w:val="22"/>
        </w:rPr>
        <w:t>designates</w:t>
      </w:r>
      <w:r>
        <w:rPr>
          <w:spacing w:val="1"/>
          <w:sz w:val="22"/>
        </w:rPr>
        <w:t> </w:t>
      </w:r>
      <w:r>
        <w:rPr>
          <w:sz w:val="22"/>
        </w:rPr>
        <w:t>the</w:t>
      </w:r>
      <w:r>
        <w:rPr>
          <w:spacing w:val="1"/>
          <w:sz w:val="22"/>
        </w:rPr>
        <w:t> </w:t>
      </w:r>
      <w:r>
        <w:rPr>
          <w:sz w:val="22"/>
        </w:rPr>
        <w:t>Minister</w:t>
      </w:r>
      <w:r>
        <w:rPr>
          <w:spacing w:val="1"/>
          <w:sz w:val="22"/>
        </w:rPr>
        <w:t> </w:t>
      </w:r>
      <w:r>
        <w:rPr>
          <w:sz w:val="22"/>
        </w:rPr>
        <w:t>with</w:t>
      </w:r>
      <w:r>
        <w:rPr>
          <w:spacing w:val="1"/>
          <w:sz w:val="22"/>
        </w:rPr>
        <w:t> </w:t>
      </w:r>
      <w:r>
        <w:rPr>
          <w:sz w:val="22"/>
        </w:rPr>
        <w:t>responsibility</w:t>
      </w:r>
      <w:r>
        <w:rPr>
          <w:spacing w:val="1"/>
          <w:sz w:val="22"/>
        </w:rPr>
        <w:t> </w:t>
      </w:r>
      <w:r>
        <w:rPr>
          <w:sz w:val="22"/>
        </w:rPr>
        <w:t>for</w:t>
      </w:r>
      <w:r>
        <w:rPr>
          <w:spacing w:val="1"/>
          <w:sz w:val="22"/>
        </w:rPr>
        <w:t> </w:t>
      </w:r>
      <w:r>
        <w:rPr>
          <w:sz w:val="22"/>
        </w:rPr>
        <w:t>preparing</w:t>
      </w:r>
      <w:r>
        <w:rPr>
          <w:spacing w:val="1"/>
          <w:sz w:val="22"/>
        </w:rPr>
        <w:t> </w:t>
      </w:r>
      <w:r>
        <w:rPr>
          <w:sz w:val="22"/>
        </w:rPr>
        <w:t>guidelines</w:t>
      </w:r>
      <w:r>
        <w:rPr>
          <w:spacing w:val="1"/>
          <w:sz w:val="22"/>
        </w:rPr>
        <w:t> </w:t>
      </w:r>
      <w:r>
        <w:rPr>
          <w:sz w:val="22"/>
        </w:rPr>
        <w:t>to</w:t>
      </w:r>
      <w:r>
        <w:rPr>
          <w:spacing w:val="1"/>
          <w:sz w:val="22"/>
        </w:rPr>
        <w:t> </w:t>
      </w:r>
      <w:r>
        <w:rPr>
          <w:sz w:val="22"/>
        </w:rPr>
        <w:t>assist</w:t>
      </w:r>
      <w:r>
        <w:rPr>
          <w:spacing w:val="1"/>
          <w:sz w:val="22"/>
        </w:rPr>
        <w:t> </w:t>
      </w:r>
      <w:r>
        <w:rPr>
          <w:sz w:val="22"/>
        </w:rPr>
        <w:t>persons</w:t>
      </w:r>
      <w:r>
        <w:rPr>
          <w:spacing w:val="1"/>
          <w:sz w:val="22"/>
        </w:rPr>
        <w:t> </w:t>
      </w:r>
      <w:r>
        <w:rPr>
          <w:sz w:val="22"/>
        </w:rPr>
        <w:t>required</w:t>
      </w:r>
      <w:r>
        <w:rPr>
          <w:spacing w:val="1"/>
          <w:sz w:val="22"/>
        </w:rPr>
        <w:t> </w:t>
      </w:r>
      <w:r>
        <w:rPr>
          <w:sz w:val="22"/>
        </w:rPr>
        <w:t>to</w:t>
      </w:r>
      <w:r>
        <w:rPr>
          <w:spacing w:val="1"/>
          <w:sz w:val="22"/>
        </w:rPr>
        <w:t> </w:t>
      </w:r>
      <w:r>
        <w:rPr>
          <w:sz w:val="22"/>
        </w:rPr>
        <w:t>make</w:t>
      </w:r>
      <w:r>
        <w:rPr>
          <w:spacing w:val="1"/>
          <w:sz w:val="22"/>
        </w:rPr>
        <w:t> </w:t>
      </w:r>
      <w:r>
        <w:rPr>
          <w:sz w:val="22"/>
        </w:rPr>
        <w:t>assessments</w:t>
      </w:r>
      <w:r>
        <w:rPr>
          <w:spacing w:val="1"/>
          <w:sz w:val="22"/>
        </w:rPr>
        <w:t> </w:t>
      </w:r>
      <w:r>
        <w:rPr>
          <w:sz w:val="22"/>
        </w:rPr>
        <w:t>about</w:t>
      </w:r>
      <w:r>
        <w:rPr>
          <w:spacing w:val="1"/>
          <w:sz w:val="22"/>
        </w:rPr>
        <w:t> </w:t>
      </w:r>
      <w:r>
        <w:rPr>
          <w:sz w:val="22"/>
        </w:rPr>
        <w:t>the</w:t>
      </w:r>
      <w:r>
        <w:rPr>
          <w:spacing w:val="1"/>
          <w:sz w:val="22"/>
        </w:rPr>
        <w:t> </w:t>
      </w:r>
      <w:r>
        <w:rPr>
          <w:sz w:val="22"/>
        </w:rPr>
        <w:t>decision-making</w:t>
      </w:r>
      <w:r>
        <w:rPr>
          <w:spacing w:val="-59"/>
          <w:sz w:val="22"/>
        </w:rPr>
        <w:t> </w:t>
      </w:r>
      <w:r>
        <w:rPr>
          <w:sz w:val="22"/>
        </w:rPr>
        <w:t>capacity</w:t>
      </w:r>
      <w:r>
        <w:rPr>
          <w:spacing w:val="-5"/>
          <w:sz w:val="22"/>
        </w:rPr>
        <w:t> </w:t>
      </w:r>
      <w:r>
        <w:rPr>
          <w:sz w:val="22"/>
        </w:rPr>
        <w:t>of</w:t>
      </w:r>
      <w:r>
        <w:rPr>
          <w:spacing w:val="-3"/>
          <w:sz w:val="22"/>
        </w:rPr>
        <w:t> </w:t>
      </w:r>
      <w:r>
        <w:rPr>
          <w:sz w:val="22"/>
        </w:rPr>
        <w:t>adults</w:t>
      </w:r>
      <w:r>
        <w:rPr>
          <w:spacing w:val="4"/>
          <w:sz w:val="22"/>
        </w:rPr>
        <w:t> </w:t>
      </w:r>
      <w:r>
        <w:rPr>
          <w:sz w:val="22"/>
        </w:rPr>
        <w:t>in making</w:t>
      </w:r>
      <w:r>
        <w:rPr>
          <w:spacing w:val="-1"/>
          <w:sz w:val="22"/>
        </w:rPr>
        <w:t> </w:t>
      </w:r>
      <w:r>
        <w:rPr>
          <w:sz w:val="22"/>
        </w:rPr>
        <w:t>those assessments.</w:t>
      </w:r>
    </w:p>
    <w:p>
      <w:pPr>
        <w:spacing w:line="240" w:lineRule="auto" w:before="111"/>
        <w:ind w:left="620" w:right="274" w:firstLine="0"/>
        <w:jc w:val="both"/>
        <w:rPr>
          <w:sz w:val="22"/>
        </w:rPr>
      </w:pPr>
      <w:r>
        <w:rPr>
          <w:b/>
          <w:sz w:val="22"/>
        </w:rPr>
        <w:t>QAI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considers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that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the content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of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the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Minister’s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guidelines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will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be critical</w:t>
      </w:r>
      <w:r>
        <w:rPr>
          <w:b/>
          <w:spacing w:val="61"/>
          <w:sz w:val="22"/>
        </w:rPr>
        <w:t> </w:t>
      </w:r>
      <w:r>
        <w:rPr>
          <w:b/>
          <w:sz w:val="22"/>
        </w:rPr>
        <w:t>to</w:t>
      </w:r>
      <w:r>
        <w:rPr>
          <w:b/>
          <w:spacing w:val="61"/>
          <w:sz w:val="22"/>
        </w:rPr>
        <w:t> </w:t>
      </w:r>
      <w:r>
        <w:rPr>
          <w:b/>
          <w:sz w:val="22"/>
        </w:rPr>
        <w:t>the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impact of this amendment.</w:t>
      </w:r>
      <w:r>
        <w:rPr>
          <w:b/>
          <w:spacing w:val="1"/>
          <w:sz w:val="22"/>
        </w:rPr>
        <w:t> </w:t>
      </w:r>
      <w:r>
        <w:rPr>
          <w:sz w:val="22"/>
        </w:rPr>
        <w:t>The proposed s 250(3) requires the Minister, in preparing the</w:t>
      </w:r>
      <w:r>
        <w:rPr>
          <w:spacing w:val="1"/>
          <w:sz w:val="22"/>
        </w:rPr>
        <w:t> </w:t>
      </w:r>
      <w:r>
        <w:rPr>
          <w:sz w:val="22"/>
        </w:rPr>
        <w:t>guidelines, to consult with persons who have qualifications relevant to, or experience in,</w:t>
      </w:r>
      <w:r>
        <w:rPr>
          <w:spacing w:val="1"/>
          <w:sz w:val="22"/>
        </w:rPr>
        <w:t> </w:t>
      </w:r>
      <w:r>
        <w:rPr>
          <w:sz w:val="22"/>
        </w:rPr>
        <w:t>making assessments about the capacity of adults to make decisions about matters.</w:t>
      </w:r>
      <w:r>
        <w:rPr>
          <w:spacing w:val="1"/>
          <w:sz w:val="22"/>
        </w:rPr>
        <w:t> </w:t>
      </w:r>
      <w:r>
        <w:rPr>
          <w:sz w:val="22"/>
        </w:rPr>
        <w:t>QAI</w:t>
      </w:r>
      <w:r>
        <w:rPr>
          <w:spacing w:val="1"/>
          <w:sz w:val="22"/>
        </w:rPr>
        <w:t> </w:t>
      </w:r>
      <w:r>
        <w:rPr>
          <w:sz w:val="22"/>
        </w:rPr>
        <w:t>submits that the Minister should make reference to</w:t>
      </w:r>
      <w:r>
        <w:rPr>
          <w:spacing w:val="1"/>
          <w:sz w:val="22"/>
        </w:rPr>
        <w:t> </w:t>
      </w:r>
      <w:r>
        <w:rPr>
          <w:sz w:val="22"/>
        </w:rPr>
        <w:t>the Chief Psychiatrist guidelines in</w:t>
      </w:r>
      <w:r>
        <w:rPr>
          <w:spacing w:val="1"/>
          <w:sz w:val="22"/>
        </w:rPr>
        <w:t> </w:t>
      </w:r>
      <w:r>
        <w:rPr>
          <w:sz w:val="22"/>
        </w:rPr>
        <w:t>assessing capacity under the MHA 2016 in drafting the guidelines.   This would help to</w:t>
      </w:r>
      <w:r>
        <w:rPr>
          <w:spacing w:val="1"/>
          <w:sz w:val="22"/>
        </w:rPr>
        <w:t> </w:t>
      </w:r>
      <w:r>
        <w:rPr>
          <w:sz w:val="22"/>
        </w:rPr>
        <w:t>ensure consistency with the MHA 2016, which is particularly important given that capacity is</w:t>
      </w:r>
      <w:r>
        <w:rPr>
          <w:spacing w:val="1"/>
          <w:sz w:val="22"/>
        </w:rPr>
        <w:t> </w:t>
      </w:r>
      <w:r>
        <w:rPr>
          <w:sz w:val="22"/>
        </w:rPr>
        <w:t>likely to be challenged through QCAT.</w:t>
      </w:r>
      <w:r>
        <w:rPr>
          <w:spacing w:val="1"/>
          <w:sz w:val="22"/>
        </w:rPr>
        <w:t> </w:t>
      </w:r>
      <w:r>
        <w:rPr>
          <w:sz w:val="22"/>
        </w:rPr>
        <w:t>QAI emphasises, however, that </w:t>
      </w:r>
      <w:r>
        <w:rPr>
          <w:b/>
          <w:sz w:val="22"/>
        </w:rPr>
        <w:t>it is important to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ensure that this does not result in conflation of disability and mental illness</w:t>
      </w:r>
      <w:r>
        <w:rPr>
          <w:sz w:val="22"/>
        </w:rPr>
        <w:t>, but rather</w:t>
      </w:r>
      <w:r>
        <w:rPr>
          <w:spacing w:val="1"/>
          <w:sz w:val="22"/>
        </w:rPr>
        <w:t> </w:t>
      </w:r>
      <w:r>
        <w:rPr>
          <w:sz w:val="22"/>
        </w:rPr>
        <w:t>provides</w:t>
      </w:r>
      <w:r>
        <w:rPr>
          <w:spacing w:val="-1"/>
          <w:sz w:val="22"/>
        </w:rPr>
        <w:t> </w:t>
      </w:r>
      <w:r>
        <w:rPr>
          <w:sz w:val="22"/>
        </w:rPr>
        <w:t>a consistent</w:t>
      </w:r>
      <w:r>
        <w:rPr>
          <w:spacing w:val="-3"/>
          <w:sz w:val="22"/>
        </w:rPr>
        <w:t> </w:t>
      </w:r>
      <w:r>
        <w:rPr>
          <w:sz w:val="22"/>
        </w:rPr>
        <w:t>method</w:t>
      </w:r>
      <w:r>
        <w:rPr>
          <w:spacing w:val="-1"/>
          <w:sz w:val="22"/>
        </w:rPr>
        <w:t> </w:t>
      </w:r>
      <w:r>
        <w:rPr>
          <w:sz w:val="22"/>
        </w:rPr>
        <w:t>for</w:t>
      </w:r>
      <w:r>
        <w:rPr>
          <w:spacing w:val="-3"/>
          <w:sz w:val="22"/>
        </w:rPr>
        <w:t> </w:t>
      </w:r>
      <w:r>
        <w:rPr>
          <w:sz w:val="22"/>
        </w:rPr>
        <w:t>assessing capacity.</w:t>
      </w:r>
    </w:p>
    <w:p>
      <w:pPr>
        <w:pStyle w:val="BodyText"/>
        <w:spacing w:before="126"/>
        <w:ind w:left="620" w:right="274"/>
        <w:jc w:val="both"/>
      </w:pPr>
      <w:r>
        <w:rPr/>
        <w:t>QAI seeks to be included as a relevant stakeholder in the development of these guidelines.</w:t>
      </w:r>
      <w:r>
        <w:rPr>
          <w:spacing w:val="1"/>
        </w:rPr>
        <w:t> </w:t>
      </w:r>
      <w:r>
        <w:rPr/>
        <w:t>As previously advised, QAI (in conjunction with Allens law firm) has developed a </w:t>
      </w:r>
      <w:r>
        <w:rPr>
          <w:i/>
        </w:rPr>
        <w:t>Handbook</w:t>
      </w:r>
      <w:r>
        <w:rPr>
          <w:i/>
          <w:spacing w:val="1"/>
        </w:rPr>
        <w:t> </w:t>
      </w:r>
      <w:r>
        <w:rPr>
          <w:i/>
        </w:rPr>
        <w:t>for Practitioners on Legal Capacity.</w:t>
      </w:r>
      <w:r>
        <w:rPr>
          <w:vertAlign w:val="superscript"/>
        </w:rPr>
        <w:t>3</w:t>
      </w:r>
      <w:r>
        <w:rPr>
          <w:spacing w:val="1"/>
          <w:vertAlign w:val="baseline"/>
        </w:rPr>
        <w:t> </w:t>
      </w:r>
      <w:r>
        <w:rPr>
          <w:vertAlign w:val="baseline"/>
        </w:rPr>
        <w:t>This is a useful tool for understanding capacity in the</w:t>
      </w:r>
      <w:r>
        <w:rPr>
          <w:spacing w:val="1"/>
          <w:vertAlign w:val="baseline"/>
        </w:rPr>
        <w:t> </w:t>
      </w:r>
      <w:r>
        <w:rPr>
          <w:vertAlign w:val="baseline"/>
        </w:rPr>
        <w:t>Guardianship</w:t>
      </w:r>
      <w:r>
        <w:rPr>
          <w:spacing w:val="-1"/>
          <w:vertAlign w:val="baseline"/>
        </w:rPr>
        <w:t> </w:t>
      </w:r>
      <w:r>
        <w:rPr>
          <w:vertAlign w:val="baseline"/>
        </w:rPr>
        <w:t>regime</w:t>
      </w:r>
      <w:r>
        <w:rPr>
          <w:spacing w:val="-1"/>
          <w:vertAlign w:val="baseline"/>
        </w:rPr>
        <w:t> </w:t>
      </w:r>
      <w:r>
        <w:rPr>
          <w:vertAlign w:val="baseline"/>
        </w:rPr>
        <w:t>and</w:t>
      </w:r>
      <w:r>
        <w:rPr>
          <w:spacing w:val="-4"/>
          <w:vertAlign w:val="baseline"/>
        </w:rPr>
        <w:t> </w:t>
      </w:r>
      <w:r>
        <w:rPr>
          <w:vertAlign w:val="baseline"/>
        </w:rPr>
        <w:t>may</w:t>
      </w:r>
      <w:r>
        <w:rPr>
          <w:spacing w:val="-5"/>
          <w:vertAlign w:val="baseline"/>
        </w:rPr>
        <w:t> </w:t>
      </w:r>
      <w:r>
        <w:rPr>
          <w:vertAlign w:val="baseline"/>
        </w:rPr>
        <w:t>assist</w:t>
      </w:r>
      <w:r>
        <w:rPr>
          <w:spacing w:val="-4"/>
          <w:vertAlign w:val="baseline"/>
        </w:rPr>
        <w:t> </w:t>
      </w:r>
      <w:r>
        <w:rPr>
          <w:vertAlign w:val="baseline"/>
        </w:rPr>
        <w:t>in the</w:t>
      </w:r>
      <w:r>
        <w:rPr>
          <w:spacing w:val="-1"/>
          <w:vertAlign w:val="baseline"/>
        </w:rPr>
        <w:t> </w:t>
      </w:r>
      <w:r>
        <w:rPr>
          <w:vertAlign w:val="baseline"/>
        </w:rPr>
        <w:t>preparation</w:t>
      </w:r>
      <w:r>
        <w:rPr>
          <w:spacing w:val="-1"/>
          <w:vertAlign w:val="baseline"/>
        </w:rPr>
        <w:t> </w:t>
      </w:r>
      <w:r>
        <w:rPr>
          <w:vertAlign w:val="baseline"/>
        </w:rPr>
        <w:t>of</w:t>
      </w:r>
      <w:r>
        <w:rPr>
          <w:spacing w:val="-3"/>
          <w:vertAlign w:val="baseline"/>
        </w:rPr>
        <w:t> </w:t>
      </w:r>
      <w:r>
        <w:rPr>
          <w:vertAlign w:val="baseline"/>
        </w:rPr>
        <w:t>these</w:t>
      </w:r>
      <w:r>
        <w:rPr>
          <w:spacing w:val="-1"/>
          <w:vertAlign w:val="baseline"/>
        </w:rPr>
        <w:t> </w:t>
      </w:r>
      <w:r>
        <w:rPr>
          <w:vertAlign w:val="baseline"/>
        </w:rPr>
        <w:t>guidelines.</w:t>
      </w:r>
    </w:p>
    <w:p>
      <w:pPr>
        <w:pStyle w:val="BodyText"/>
        <w:spacing w:before="11"/>
        <w:rPr>
          <w:sz w:val="25"/>
        </w:rPr>
      </w:pPr>
      <w:r>
        <w:rPr/>
        <w:pict>
          <v:rect style="position:absolute;margin-left:72.025002pt;margin-top:16.143408pt;width:144.050pt;height:.80005pt;mso-position-horizontal-relative:page;mso-position-vertical-relative:paragraph;z-index:-15724544;mso-wrap-distance-left:0;mso-wrap-distance-right:0" id="docshape16" filled="true" fillcolor="#000000" stroked="false">
            <v:fill type="solid"/>
            <w10:wrap type="topAndBottom"/>
          </v:rect>
        </w:pict>
      </w:r>
    </w:p>
    <w:p>
      <w:pPr>
        <w:spacing w:before="95"/>
        <w:ind w:left="620" w:right="0" w:firstLine="0"/>
        <w:jc w:val="left"/>
        <w:rPr>
          <w:sz w:val="18"/>
        </w:rPr>
      </w:pPr>
      <w:r>
        <w:rPr>
          <w:sz w:val="18"/>
          <w:vertAlign w:val="superscript"/>
        </w:rPr>
        <w:t>3</w:t>
      </w:r>
      <w:r>
        <w:rPr>
          <w:spacing w:val="2"/>
          <w:sz w:val="18"/>
          <w:vertAlign w:val="baseline"/>
        </w:rPr>
        <w:t> </w:t>
      </w:r>
      <w:r>
        <w:rPr>
          <w:sz w:val="18"/>
          <w:vertAlign w:val="baseline"/>
        </w:rPr>
        <w:t>Available on</w:t>
      </w:r>
      <w:r>
        <w:rPr>
          <w:spacing w:val="-4"/>
          <w:sz w:val="18"/>
          <w:vertAlign w:val="baseline"/>
        </w:rPr>
        <w:t> </w:t>
      </w:r>
      <w:r>
        <w:rPr>
          <w:sz w:val="18"/>
          <w:vertAlign w:val="baseline"/>
        </w:rPr>
        <w:t>our</w:t>
      </w:r>
      <w:r>
        <w:rPr>
          <w:spacing w:val="-4"/>
          <w:sz w:val="18"/>
          <w:vertAlign w:val="baseline"/>
        </w:rPr>
        <w:t> </w:t>
      </w:r>
      <w:r>
        <w:rPr>
          <w:sz w:val="18"/>
          <w:vertAlign w:val="baseline"/>
        </w:rPr>
        <w:t>website:</w:t>
      </w:r>
      <w:r>
        <w:rPr>
          <w:spacing w:val="-2"/>
          <w:sz w:val="18"/>
          <w:vertAlign w:val="baseline"/>
        </w:rPr>
        <w:t> </w:t>
      </w:r>
      <w:hyperlink r:id="rId7">
        <w:r>
          <w:rPr>
            <w:sz w:val="18"/>
            <w:vertAlign w:val="baseline"/>
          </w:rPr>
          <w:t>www.qai.org.au.</w:t>
        </w:r>
      </w:hyperlink>
    </w:p>
    <w:p>
      <w:pPr>
        <w:spacing w:after="0"/>
        <w:jc w:val="left"/>
        <w:rPr>
          <w:sz w:val="18"/>
        </w:rPr>
        <w:sectPr>
          <w:pgSz w:w="11910" w:h="16840"/>
          <w:pgMar w:header="0" w:footer="1907" w:top="1080" w:bottom="2100" w:left="820" w:right="1160"/>
        </w:sectPr>
      </w:pPr>
    </w:p>
    <w:p>
      <w:pPr>
        <w:spacing w:before="70"/>
        <w:ind w:left="620" w:right="0" w:firstLine="0"/>
        <w:jc w:val="left"/>
        <w:rPr>
          <w:b/>
          <w:sz w:val="22"/>
        </w:rPr>
      </w:pPr>
      <w:r>
        <w:rPr>
          <w:b/>
          <w:i/>
          <w:sz w:val="22"/>
          <w:u w:val="single"/>
        </w:rPr>
        <w:t>QAI</w:t>
      </w:r>
      <w:r>
        <w:rPr>
          <w:b/>
          <w:i/>
          <w:spacing w:val="-6"/>
          <w:sz w:val="22"/>
          <w:u w:val="single"/>
        </w:rPr>
        <w:t> </w:t>
      </w:r>
      <w:r>
        <w:rPr>
          <w:b/>
          <w:i/>
          <w:sz w:val="22"/>
          <w:u w:val="single"/>
        </w:rPr>
        <w:t>recommends</w:t>
      </w:r>
      <w:r>
        <w:rPr>
          <w:b/>
          <w:i/>
          <w:spacing w:val="-3"/>
          <w:sz w:val="22"/>
          <w:u w:val="single"/>
        </w:rPr>
        <w:t> </w:t>
      </w:r>
      <w:r>
        <w:rPr>
          <w:b/>
          <w:i/>
          <w:sz w:val="22"/>
          <w:u w:val="single"/>
        </w:rPr>
        <w:t>the</w:t>
      </w:r>
      <w:r>
        <w:rPr>
          <w:b/>
          <w:i/>
          <w:spacing w:val="-3"/>
          <w:sz w:val="22"/>
          <w:u w:val="single"/>
        </w:rPr>
        <w:t> </w:t>
      </w:r>
      <w:r>
        <w:rPr>
          <w:b/>
          <w:i/>
          <w:sz w:val="22"/>
          <w:u w:val="single"/>
        </w:rPr>
        <w:t>following</w:t>
      </w:r>
      <w:r>
        <w:rPr>
          <w:b/>
          <w:i/>
          <w:spacing w:val="-3"/>
          <w:sz w:val="22"/>
          <w:u w:val="single"/>
        </w:rPr>
        <w:t> </w:t>
      </w:r>
      <w:r>
        <w:rPr>
          <w:b/>
          <w:i/>
          <w:sz w:val="22"/>
          <w:u w:val="single"/>
        </w:rPr>
        <w:t>are</w:t>
      </w:r>
      <w:r>
        <w:rPr>
          <w:b/>
          <w:i/>
          <w:spacing w:val="-3"/>
          <w:sz w:val="22"/>
          <w:u w:val="single"/>
        </w:rPr>
        <w:t> </w:t>
      </w:r>
      <w:r>
        <w:rPr>
          <w:b/>
          <w:i/>
          <w:sz w:val="22"/>
          <w:u w:val="single"/>
        </w:rPr>
        <w:t>considered</w:t>
      </w:r>
      <w:r>
        <w:rPr>
          <w:b/>
          <w:i/>
          <w:spacing w:val="2"/>
          <w:sz w:val="22"/>
          <w:u w:val="single"/>
        </w:rPr>
        <w:t> </w:t>
      </w:r>
      <w:r>
        <w:rPr>
          <w:b/>
          <w:i/>
          <w:sz w:val="22"/>
          <w:u w:val="single"/>
        </w:rPr>
        <w:t>when</w:t>
      </w:r>
      <w:r>
        <w:rPr>
          <w:b/>
          <w:i/>
          <w:spacing w:val="-3"/>
          <w:sz w:val="22"/>
          <w:u w:val="single"/>
        </w:rPr>
        <w:t> </w:t>
      </w:r>
      <w:r>
        <w:rPr>
          <w:b/>
          <w:i/>
          <w:sz w:val="22"/>
          <w:u w:val="single"/>
        </w:rPr>
        <w:t>developing</w:t>
      </w:r>
      <w:r>
        <w:rPr>
          <w:b/>
          <w:i/>
          <w:spacing w:val="-3"/>
          <w:sz w:val="22"/>
          <w:u w:val="single"/>
        </w:rPr>
        <w:t> </w:t>
      </w:r>
      <w:r>
        <w:rPr>
          <w:b/>
          <w:i/>
          <w:sz w:val="22"/>
          <w:u w:val="single"/>
        </w:rPr>
        <w:t>the</w:t>
      </w:r>
      <w:r>
        <w:rPr>
          <w:b/>
          <w:i/>
          <w:spacing w:val="-3"/>
          <w:sz w:val="22"/>
          <w:u w:val="single"/>
        </w:rPr>
        <w:t> </w:t>
      </w:r>
      <w:r>
        <w:rPr>
          <w:b/>
          <w:i/>
          <w:sz w:val="22"/>
          <w:u w:val="single"/>
        </w:rPr>
        <w:t>guidelines</w:t>
      </w:r>
      <w:r>
        <w:rPr>
          <w:b/>
          <w:sz w:val="22"/>
        </w:rPr>
        <w:t>:</w:t>
      </w:r>
    </w:p>
    <w:p>
      <w:pPr>
        <w:pStyle w:val="ListParagraph"/>
        <w:numPr>
          <w:ilvl w:val="0"/>
          <w:numId w:val="2"/>
        </w:numPr>
        <w:tabs>
          <w:tab w:pos="1341" w:val="left" w:leader="none"/>
        </w:tabs>
        <w:spacing w:line="240" w:lineRule="auto" w:before="123" w:after="0"/>
        <w:ind w:left="1340" w:right="0" w:hanging="361"/>
        <w:jc w:val="left"/>
        <w:rPr>
          <w:sz w:val="22"/>
        </w:rPr>
      </w:pPr>
      <w:r>
        <w:rPr>
          <w:sz w:val="22"/>
        </w:rPr>
        <w:t>Should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draft</w:t>
      </w:r>
      <w:r>
        <w:rPr>
          <w:spacing w:val="-6"/>
          <w:sz w:val="22"/>
        </w:rPr>
        <w:t> </w:t>
      </w:r>
      <w:r>
        <w:rPr>
          <w:sz w:val="22"/>
        </w:rPr>
        <w:t>guidelines</w:t>
      </w:r>
      <w:r>
        <w:rPr>
          <w:spacing w:val="-3"/>
          <w:sz w:val="22"/>
        </w:rPr>
        <w:t> </w:t>
      </w:r>
      <w:r>
        <w:rPr>
          <w:sz w:val="22"/>
        </w:rPr>
        <w:t>be</w:t>
      </w:r>
      <w:r>
        <w:rPr>
          <w:spacing w:val="-3"/>
          <w:sz w:val="22"/>
        </w:rPr>
        <w:t> </w:t>
      </w:r>
      <w:r>
        <w:rPr>
          <w:sz w:val="22"/>
        </w:rPr>
        <w:t>published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open</w:t>
      </w:r>
      <w:r>
        <w:rPr>
          <w:spacing w:val="-3"/>
          <w:sz w:val="22"/>
        </w:rPr>
        <w:t> </w:t>
      </w:r>
      <w:r>
        <w:rPr>
          <w:sz w:val="22"/>
        </w:rPr>
        <w:t>to</w:t>
      </w:r>
      <w:r>
        <w:rPr>
          <w:spacing w:val="-3"/>
          <w:sz w:val="22"/>
        </w:rPr>
        <w:t> </w:t>
      </w:r>
      <w:r>
        <w:rPr>
          <w:sz w:val="22"/>
        </w:rPr>
        <w:t>public</w:t>
      </w:r>
      <w:r>
        <w:rPr>
          <w:spacing w:val="-2"/>
          <w:sz w:val="22"/>
        </w:rPr>
        <w:t> </w:t>
      </w:r>
      <w:r>
        <w:rPr>
          <w:sz w:val="22"/>
        </w:rPr>
        <w:t>submission?</w:t>
      </w:r>
    </w:p>
    <w:p>
      <w:pPr>
        <w:pStyle w:val="ListParagraph"/>
        <w:numPr>
          <w:ilvl w:val="0"/>
          <w:numId w:val="2"/>
        </w:numPr>
        <w:tabs>
          <w:tab w:pos="1341" w:val="left" w:leader="none"/>
        </w:tabs>
        <w:spacing w:line="240" w:lineRule="auto" w:before="119" w:after="0"/>
        <w:ind w:left="1340" w:right="0" w:hanging="361"/>
        <w:jc w:val="left"/>
        <w:rPr>
          <w:sz w:val="22"/>
        </w:rPr>
      </w:pPr>
      <w:r>
        <w:rPr>
          <w:sz w:val="22"/>
        </w:rPr>
        <w:t>In</w:t>
      </w:r>
      <w:r>
        <w:rPr>
          <w:spacing w:val="-3"/>
          <w:sz w:val="22"/>
        </w:rPr>
        <w:t> </w:t>
      </w:r>
      <w:r>
        <w:rPr>
          <w:sz w:val="22"/>
        </w:rPr>
        <w:t>assessing</w:t>
      </w:r>
      <w:r>
        <w:rPr>
          <w:spacing w:val="-3"/>
          <w:sz w:val="22"/>
        </w:rPr>
        <w:t> </w:t>
      </w:r>
      <w:r>
        <w:rPr>
          <w:sz w:val="22"/>
        </w:rPr>
        <w:t>capacity,</w:t>
      </w:r>
      <w:r>
        <w:rPr>
          <w:spacing w:val="-1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functional</w:t>
      </w:r>
      <w:r>
        <w:rPr>
          <w:spacing w:val="-8"/>
          <w:sz w:val="22"/>
        </w:rPr>
        <w:t> </w:t>
      </w:r>
      <w:r>
        <w:rPr>
          <w:sz w:val="22"/>
        </w:rPr>
        <w:t>approach</w:t>
      </w:r>
      <w:r>
        <w:rPr>
          <w:spacing w:val="-2"/>
          <w:sz w:val="22"/>
        </w:rPr>
        <w:t> </w:t>
      </w:r>
      <w:r>
        <w:rPr>
          <w:sz w:val="22"/>
        </w:rPr>
        <w:t>should</w:t>
      </w:r>
      <w:r>
        <w:rPr>
          <w:spacing w:val="-3"/>
          <w:sz w:val="22"/>
        </w:rPr>
        <w:t> </w:t>
      </w:r>
      <w:r>
        <w:rPr>
          <w:sz w:val="22"/>
        </w:rPr>
        <w:t>be</w:t>
      </w:r>
      <w:r>
        <w:rPr>
          <w:spacing w:val="-2"/>
          <w:sz w:val="22"/>
        </w:rPr>
        <w:t> </w:t>
      </w:r>
      <w:r>
        <w:rPr>
          <w:sz w:val="22"/>
        </w:rPr>
        <w:t>used.</w:t>
      </w:r>
    </w:p>
    <w:p>
      <w:pPr>
        <w:pStyle w:val="ListParagraph"/>
        <w:numPr>
          <w:ilvl w:val="0"/>
          <w:numId w:val="2"/>
        </w:numPr>
        <w:tabs>
          <w:tab w:pos="1341" w:val="left" w:leader="none"/>
        </w:tabs>
        <w:spacing w:line="240" w:lineRule="auto" w:before="119" w:after="0"/>
        <w:ind w:left="1340" w:right="933" w:hanging="360"/>
        <w:jc w:val="left"/>
        <w:rPr>
          <w:sz w:val="22"/>
        </w:rPr>
      </w:pPr>
      <w:r>
        <w:rPr>
          <w:sz w:val="22"/>
        </w:rPr>
        <w:t>The appropriate timeframe for review, in light of the supported decision making</w:t>
      </w:r>
      <w:r>
        <w:rPr>
          <w:spacing w:val="-60"/>
          <w:sz w:val="22"/>
        </w:rPr>
        <w:t> </w:t>
      </w:r>
      <w:r>
        <w:rPr>
          <w:sz w:val="22"/>
        </w:rPr>
        <w:t>movement and Article 12 CRPD, should be no longer than three years, with a</w:t>
      </w:r>
      <w:r>
        <w:rPr>
          <w:spacing w:val="1"/>
          <w:sz w:val="22"/>
        </w:rPr>
        <w:t> </w:t>
      </w:r>
      <w:r>
        <w:rPr>
          <w:sz w:val="22"/>
        </w:rPr>
        <w:t>mechanism</w:t>
      </w:r>
      <w:r>
        <w:rPr>
          <w:spacing w:val="2"/>
          <w:sz w:val="22"/>
        </w:rPr>
        <w:t> </w:t>
      </w:r>
      <w:r>
        <w:rPr>
          <w:sz w:val="22"/>
        </w:rPr>
        <w:t>for</w:t>
      </w:r>
      <w:r>
        <w:rPr>
          <w:spacing w:val="-3"/>
          <w:sz w:val="22"/>
        </w:rPr>
        <w:t> </w:t>
      </w:r>
      <w:r>
        <w:rPr>
          <w:sz w:val="22"/>
        </w:rPr>
        <w:t>early review</w:t>
      </w:r>
      <w:r>
        <w:rPr>
          <w:spacing w:val="-5"/>
          <w:sz w:val="22"/>
        </w:rPr>
        <w:t> </w:t>
      </w:r>
      <w:r>
        <w:rPr>
          <w:sz w:val="22"/>
        </w:rPr>
        <w:t>of</w:t>
      </w:r>
      <w:r>
        <w:rPr>
          <w:spacing w:val="-3"/>
          <w:sz w:val="22"/>
        </w:rPr>
        <w:t> </w:t>
      </w:r>
      <w:r>
        <w:rPr>
          <w:sz w:val="22"/>
        </w:rPr>
        <w:t>the guidelines</w:t>
      </w:r>
      <w:r>
        <w:rPr>
          <w:spacing w:val="-1"/>
          <w:sz w:val="22"/>
        </w:rPr>
        <w:t> </w:t>
      </w:r>
      <w:r>
        <w:rPr>
          <w:sz w:val="22"/>
        </w:rPr>
        <w:t>be included.</w:t>
      </w:r>
    </w:p>
    <w:p>
      <w:pPr>
        <w:pStyle w:val="ListParagraph"/>
        <w:numPr>
          <w:ilvl w:val="0"/>
          <w:numId w:val="2"/>
        </w:numPr>
        <w:tabs>
          <w:tab w:pos="1341" w:val="left" w:leader="none"/>
        </w:tabs>
        <w:spacing w:line="240" w:lineRule="auto" w:before="121" w:after="0"/>
        <w:ind w:left="1340" w:right="0" w:hanging="361"/>
        <w:jc w:val="left"/>
        <w:rPr>
          <w:sz w:val="22"/>
        </w:rPr>
      </w:pPr>
      <w:r>
        <w:rPr>
          <w:sz w:val="22"/>
        </w:rPr>
        <w:t>Who</w:t>
      </w:r>
      <w:r>
        <w:rPr>
          <w:spacing w:val="-3"/>
          <w:sz w:val="22"/>
        </w:rPr>
        <w:t> </w:t>
      </w:r>
      <w:r>
        <w:rPr>
          <w:sz w:val="22"/>
        </w:rPr>
        <w:t>would</w:t>
      </w:r>
      <w:r>
        <w:rPr>
          <w:spacing w:val="-3"/>
          <w:sz w:val="22"/>
        </w:rPr>
        <w:t> </w:t>
      </w:r>
      <w:r>
        <w:rPr>
          <w:sz w:val="22"/>
        </w:rPr>
        <w:t>be</w:t>
      </w:r>
      <w:r>
        <w:rPr>
          <w:spacing w:val="-2"/>
          <w:sz w:val="22"/>
        </w:rPr>
        <w:t> </w:t>
      </w:r>
      <w:r>
        <w:rPr>
          <w:sz w:val="22"/>
        </w:rPr>
        <w:t>using</w:t>
      </w:r>
      <w:r>
        <w:rPr>
          <w:spacing w:val="-3"/>
          <w:sz w:val="22"/>
        </w:rPr>
        <w:t> </w:t>
      </w:r>
      <w:r>
        <w:rPr>
          <w:sz w:val="22"/>
        </w:rPr>
        <w:t>these</w:t>
      </w:r>
      <w:r>
        <w:rPr>
          <w:spacing w:val="-2"/>
          <w:sz w:val="22"/>
        </w:rPr>
        <w:t> </w:t>
      </w:r>
      <w:r>
        <w:rPr>
          <w:sz w:val="22"/>
        </w:rPr>
        <w:t>guidelines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in</w:t>
      </w:r>
      <w:r>
        <w:rPr>
          <w:spacing w:val="-2"/>
          <w:sz w:val="22"/>
        </w:rPr>
        <w:t> </w:t>
      </w:r>
      <w:r>
        <w:rPr>
          <w:sz w:val="22"/>
        </w:rPr>
        <w:t>what</w:t>
      </w:r>
      <w:r>
        <w:rPr>
          <w:spacing w:val="-6"/>
          <w:sz w:val="22"/>
        </w:rPr>
        <w:t> </w:t>
      </w:r>
      <w:r>
        <w:rPr>
          <w:sz w:val="22"/>
        </w:rPr>
        <w:t>circumstances?</w:t>
      </w:r>
    </w:p>
    <w:p>
      <w:pPr>
        <w:pStyle w:val="ListParagraph"/>
        <w:numPr>
          <w:ilvl w:val="0"/>
          <w:numId w:val="2"/>
        </w:numPr>
        <w:tabs>
          <w:tab w:pos="1341" w:val="left" w:leader="none"/>
        </w:tabs>
        <w:spacing w:line="240" w:lineRule="auto" w:before="119" w:after="0"/>
        <w:ind w:left="1340" w:right="0" w:hanging="361"/>
        <w:jc w:val="left"/>
        <w:rPr>
          <w:sz w:val="22"/>
        </w:rPr>
      </w:pPr>
      <w:r>
        <w:rPr>
          <w:sz w:val="22"/>
        </w:rPr>
        <w:t>What</w:t>
      </w:r>
      <w:r>
        <w:rPr>
          <w:spacing w:val="-6"/>
          <w:sz w:val="22"/>
        </w:rPr>
        <w:t> </w:t>
      </w:r>
      <w:r>
        <w:rPr>
          <w:sz w:val="22"/>
        </w:rPr>
        <w:t>happens</w:t>
      </w:r>
      <w:r>
        <w:rPr>
          <w:spacing w:val="-2"/>
          <w:sz w:val="22"/>
        </w:rPr>
        <w:t> </w:t>
      </w:r>
      <w:r>
        <w:rPr>
          <w:sz w:val="22"/>
        </w:rPr>
        <w:t>if</w:t>
      </w:r>
      <w:r>
        <w:rPr>
          <w:spacing w:val="-5"/>
          <w:sz w:val="22"/>
        </w:rPr>
        <w:t> </w:t>
      </w:r>
      <w:r>
        <w:rPr>
          <w:sz w:val="22"/>
        </w:rPr>
        <w:t>someone</w:t>
      </w:r>
      <w:r>
        <w:rPr>
          <w:spacing w:val="-3"/>
          <w:sz w:val="22"/>
        </w:rPr>
        <w:t> </w:t>
      </w:r>
      <w:r>
        <w:rPr>
          <w:sz w:val="22"/>
        </w:rPr>
        <w:t>does</w:t>
      </w:r>
      <w:r>
        <w:rPr>
          <w:spacing w:val="-6"/>
          <w:sz w:val="22"/>
        </w:rPr>
        <w:t> </w:t>
      </w:r>
      <w:r>
        <w:rPr>
          <w:sz w:val="22"/>
        </w:rPr>
        <w:t>not</w:t>
      </w:r>
      <w:r>
        <w:rPr>
          <w:spacing w:val="-5"/>
          <w:sz w:val="22"/>
        </w:rPr>
        <w:t> </w:t>
      </w:r>
      <w:r>
        <w:rPr>
          <w:sz w:val="22"/>
        </w:rPr>
        <w:t>follow</w:t>
      </w:r>
      <w:r>
        <w:rPr>
          <w:spacing w:val="-3"/>
          <w:sz w:val="22"/>
        </w:rPr>
        <w:t> </w:t>
      </w:r>
      <w:r>
        <w:rPr>
          <w:sz w:val="22"/>
        </w:rPr>
        <w:t>these</w:t>
      </w:r>
      <w:r>
        <w:rPr>
          <w:spacing w:val="-2"/>
          <w:sz w:val="22"/>
        </w:rPr>
        <w:t> </w:t>
      </w:r>
      <w:r>
        <w:rPr>
          <w:sz w:val="22"/>
        </w:rPr>
        <w:t>guidelines?</w:t>
      </w:r>
      <w:r>
        <w:rPr>
          <w:spacing w:val="-3"/>
          <w:sz w:val="22"/>
        </w:rPr>
        <w:t> </w:t>
      </w:r>
      <w:r>
        <w:rPr>
          <w:sz w:val="22"/>
        </w:rPr>
        <w:t>Is</w:t>
      </w:r>
      <w:r>
        <w:rPr>
          <w:spacing w:val="-2"/>
          <w:sz w:val="22"/>
        </w:rPr>
        <w:t> </w:t>
      </w:r>
      <w:r>
        <w:rPr>
          <w:sz w:val="22"/>
        </w:rPr>
        <w:t>there</w:t>
      </w:r>
      <w:r>
        <w:rPr>
          <w:spacing w:val="5"/>
          <w:sz w:val="22"/>
        </w:rPr>
        <w:t> </w:t>
      </w: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penalty?</w:t>
      </w:r>
    </w:p>
    <w:p>
      <w:pPr>
        <w:pStyle w:val="ListParagraph"/>
        <w:numPr>
          <w:ilvl w:val="0"/>
          <w:numId w:val="2"/>
        </w:numPr>
        <w:tabs>
          <w:tab w:pos="1341" w:val="left" w:leader="none"/>
        </w:tabs>
        <w:spacing w:line="240" w:lineRule="auto" w:before="120" w:after="0"/>
        <w:ind w:left="1340" w:right="0" w:hanging="361"/>
        <w:jc w:val="left"/>
        <w:rPr>
          <w:sz w:val="22"/>
        </w:rPr>
      </w:pP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z w:val="22"/>
        </w:rPr>
        <w:t>principles</w:t>
      </w:r>
      <w:r>
        <w:rPr>
          <w:spacing w:val="-2"/>
          <w:sz w:val="22"/>
        </w:rPr>
        <w:t> </w:t>
      </w:r>
      <w:r>
        <w:rPr>
          <w:sz w:val="22"/>
        </w:rPr>
        <w:t>encompassed</w:t>
      </w:r>
      <w:r>
        <w:rPr>
          <w:spacing w:val="-4"/>
          <w:sz w:val="22"/>
        </w:rPr>
        <w:t> </w:t>
      </w:r>
      <w:r>
        <w:rPr>
          <w:sz w:val="22"/>
        </w:rPr>
        <w:t>within the</w:t>
      </w:r>
      <w:r>
        <w:rPr>
          <w:spacing w:val="-4"/>
          <w:sz w:val="22"/>
        </w:rPr>
        <w:t> </w:t>
      </w:r>
      <w:r>
        <w:rPr>
          <w:sz w:val="22"/>
        </w:rPr>
        <w:t>guidelines</w:t>
      </w:r>
      <w:r>
        <w:rPr>
          <w:spacing w:val="-4"/>
          <w:sz w:val="22"/>
        </w:rPr>
        <w:t> </w:t>
      </w:r>
      <w:r>
        <w:rPr>
          <w:sz w:val="22"/>
        </w:rPr>
        <w:t>must</w:t>
      </w:r>
      <w:r>
        <w:rPr>
          <w:spacing w:val="-6"/>
          <w:sz w:val="22"/>
        </w:rPr>
        <w:t> </w:t>
      </w:r>
      <w:r>
        <w:rPr>
          <w:sz w:val="22"/>
        </w:rPr>
        <w:t>include:</w:t>
      </w:r>
    </w:p>
    <w:p>
      <w:pPr>
        <w:pStyle w:val="ListParagraph"/>
        <w:numPr>
          <w:ilvl w:val="1"/>
          <w:numId w:val="2"/>
        </w:numPr>
        <w:tabs>
          <w:tab w:pos="1701" w:val="left" w:leader="none"/>
        </w:tabs>
        <w:spacing w:line="235" w:lineRule="auto" w:before="127" w:after="0"/>
        <w:ind w:left="1701" w:right="665" w:hanging="361"/>
        <w:jc w:val="left"/>
        <w:rPr>
          <w:sz w:val="22"/>
        </w:rPr>
      </w:pPr>
      <w:r>
        <w:rPr>
          <w:sz w:val="22"/>
        </w:rPr>
        <w:t>that capacity is decision, domain and time specific, that the person’s decision-</w:t>
      </w:r>
      <w:r>
        <w:rPr>
          <w:spacing w:val="-59"/>
          <w:sz w:val="22"/>
        </w:rPr>
        <w:t> </w:t>
      </w:r>
      <w:r>
        <w:rPr>
          <w:sz w:val="22"/>
        </w:rPr>
        <w:t>making</w:t>
      </w:r>
      <w:r>
        <w:rPr>
          <w:spacing w:val="-1"/>
          <w:sz w:val="22"/>
        </w:rPr>
        <w:t> </w:t>
      </w:r>
      <w:r>
        <w:rPr>
          <w:sz w:val="22"/>
        </w:rPr>
        <w:t>ability</w:t>
      </w:r>
      <w:r>
        <w:rPr>
          <w:spacing w:val="2"/>
          <w:sz w:val="22"/>
        </w:rPr>
        <w:t> </w:t>
      </w:r>
      <w:r>
        <w:rPr>
          <w:sz w:val="22"/>
        </w:rPr>
        <w:t>is assessed,</w:t>
      </w:r>
      <w:r>
        <w:rPr>
          <w:spacing w:val="-1"/>
          <w:sz w:val="22"/>
        </w:rPr>
        <w:t> </w:t>
      </w:r>
      <w:r>
        <w:rPr>
          <w:b/>
          <w:sz w:val="22"/>
        </w:rPr>
        <w:t>not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the </w:t>
      </w:r>
      <w:r>
        <w:rPr>
          <w:sz w:val="22"/>
        </w:rPr>
        <w:t>decisions</w:t>
      </w:r>
      <w:r>
        <w:rPr>
          <w:spacing w:val="-4"/>
          <w:sz w:val="22"/>
        </w:rPr>
        <w:t> </w:t>
      </w:r>
      <w:r>
        <w:rPr>
          <w:sz w:val="22"/>
        </w:rPr>
        <w:t>made.</w:t>
      </w:r>
    </w:p>
    <w:p>
      <w:pPr>
        <w:pStyle w:val="ListParagraph"/>
        <w:numPr>
          <w:ilvl w:val="1"/>
          <w:numId w:val="2"/>
        </w:numPr>
        <w:tabs>
          <w:tab w:pos="1701" w:val="left" w:leader="none"/>
        </w:tabs>
        <w:spacing w:line="240" w:lineRule="auto" w:before="124" w:after="0"/>
        <w:ind w:left="1701" w:right="4454" w:hanging="1701"/>
        <w:jc w:val="right"/>
        <w:rPr>
          <w:sz w:val="22"/>
        </w:rPr>
      </w:pPr>
      <w:r>
        <w:rPr>
          <w:sz w:val="22"/>
        </w:rPr>
        <w:t>that</w:t>
      </w:r>
      <w:r>
        <w:rPr>
          <w:spacing w:val="-6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person’s</w:t>
      </w:r>
      <w:r>
        <w:rPr>
          <w:spacing w:val="-2"/>
          <w:sz w:val="22"/>
        </w:rPr>
        <w:t> </w:t>
      </w:r>
      <w:r>
        <w:rPr>
          <w:sz w:val="22"/>
        </w:rPr>
        <w:t>privacy</w:t>
      </w:r>
      <w:r>
        <w:rPr>
          <w:spacing w:val="-6"/>
          <w:sz w:val="22"/>
        </w:rPr>
        <w:t> </w:t>
      </w:r>
      <w:r>
        <w:rPr>
          <w:sz w:val="22"/>
        </w:rPr>
        <w:t>is</w:t>
      </w:r>
      <w:r>
        <w:rPr>
          <w:spacing w:val="-3"/>
          <w:sz w:val="22"/>
        </w:rPr>
        <w:t> </w:t>
      </w:r>
      <w:r>
        <w:rPr>
          <w:sz w:val="22"/>
        </w:rPr>
        <w:t>respected.</w:t>
      </w:r>
      <w:r>
        <w:rPr>
          <w:sz w:val="22"/>
          <w:vertAlign w:val="superscript"/>
        </w:rPr>
        <w:t>4</w:t>
      </w:r>
    </w:p>
    <w:p>
      <w:pPr>
        <w:pStyle w:val="ListParagraph"/>
        <w:numPr>
          <w:ilvl w:val="0"/>
          <w:numId w:val="2"/>
        </w:numPr>
        <w:tabs>
          <w:tab w:pos="1341" w:val="left" w:leader="none"/>
        </w:tabs>
        <w:spacing w:line="240" w:lineRule="auto" w:before="119" w:after="0"/>
        <w:ind w:left="1340" w:right="4380" w:hanging="1341"/>
        <w:jc w:val="right"/>
        <w:rPr>
          <w:sz w:val="22"/>
        </w:rPr>
      </w:pP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z w:val="22"/>
        </w:rPr>
        <w:t>availability</w:t>
      </w:r>
      <w:r>
        <w:rPr>
          <w:spacing w:val="-7"/>
          <w:sz w:val="22"/>
        </w:rPr>
        <w:t> </w:t>
      </w:r>
      <w:r>
        <w:rPr>
          <w:sz w:val="22"/>
        </w:rPr>
        <w:t>of</w:t>
      </w:r>
      <w:r>
        <w:rPr>
          <w:spacing w:val="-6"/>
          <w:sz w:val="22"/>
        </w:rPr>
        <w:t> </w:t>
      </w:r>
      <w:r>
        <w:rPr>
          <w:sz w:val="22"/>
        </w:rPr>
        <w:t>decision-making</w:t>
      </w:r>
      <w:r>
        <w:rPr>
          <w:spacing w:val="-4"/>
          <w:sz w:val="22"/>
        </w:rPr>
        <w:t> </w:t>
      </w:r>
      <w:r>
        <w:rPr>
          <w:sz w:val="22"/>
        </w:rPr>
        <w:t>support.</w:t>
      </w:r>
    </w:p>
    <w:p>
      <w:pPr>
        <w:pStyle w:val="BodyText"/>
        <w:spacing w:before="123"/>
        <w:ind w:left="620" w:right="287"/>
        <w:jc w:val="both"/>
      </w:pPr>
      <w:r>
        <w:rPr/>
        <w:t>We understand the draft guidelines will be provided at a later date for feedback and we</w:t>
      </w:r>
      <w:r>
        <w:rPr>
          <w:spacing w:val="1"/>
        </w:rPr>
        <w:t> </w:t>
      </w:r>
      <w:r>
        <w:rPr/>
        <w:t>welcome the opportunity to do so, particularly in light of the principles of presumed capacity</w:t>
      </w:r>
      <w:r>
        <w:rPr>
          <w:spacing w:val="1"/>
        </w:rPr>
        <w:t> </w:t>
      </w:r>
      <w:r>
        <w:rPr/>
        <w:t>and</w:t>
      </w:r>
      <w:r>
        <w:rPr>
          <w:spacing w:val="-1"/>
        </w:rPr>
        <w:t> </w:t>
      </w:r>
      <w:r>
        <w:rPr/>
        <w:t>support</w:t>
      </w:r>
      <w:r>
        <w:rPr>
          <w:spacing w:val="-3"/>
        </w:rPr>
        <w:t> </w:t>
      </w:r>
      <w:r>
        <w:rPr/>
        <w:t>for</w:t>
      </w:r>
      <w:r>
        <w:rPr>
          <w:spacing w:val="-3"/>
        </w:rPr>
        <w:t> </w:t>
      </w:r>
      <w:r>
        <w:rPr/>
        <w:t>decision making.</w:t>
      </w:r>
    </w:p>
    <w:p>
      <w:pPr>
        <w:pStyle w:val="Heading3"/>
        <w:spacing w:before="113"/>
      </w:pPr>
      <w:r>
        <w:rPr>
          <w:color w:val="4F81BC"/>
        </w:rPr>
        <w:t>Transitional</w:t>
      </w:r>
      <w:r>
        <w:rPr>
          <w:color w:val="4F81BC"/>
          <w:spacing w:val="-5"/>
        </w:rPr>
        <w:t> </w:t>
      </w:r>
      <w:r>
        <w:rPr>
          <w:color w:val="4F81BC"/>
        </w:rPr>
        <w:t>amendments (Clauses</w:t>
      </w:r>
      <w:r>
        <w:rPr>
          <w:color w:val="4F81BC"/>
          <w:spacing w:val="-2"/>
        </w:rPr>
        <w:t> </w:t>
      </w:r>
      <w:r>
        <w:rPr>
          <w:color w:val="4F81BC"/>
        </w:rPr>
        <w:t>35</w:t>
      </w:r>
      <w:r>
        <w:rPr>
          <w:color w:val="4F81BC"/>
          <w:spacing w:val="-1"/>
        </w:rPr>
        <w:t> </w:t>
      </w:r>
      <w:r>
        <w:rPr>
          <w:color w:val="4F81BC"/>
        </w:rPr>
        <w:t>–</w:t>
      </w:r>
      <w:r>
        <w:rPr>
          <w:color w:val="4F81BC"/>
          <w:spacing w:val="-1"/>
        </w:rPr>
        <w:t> </w:t>
      </w:r>
      <w:r>
        <w:rPr>
          <w:color w:val="4F81BC"/>
        </w:rPr>
        <w:t>37)</w:t>
      </w:r>
    </w:p>
    <w:p>
      <w:pPr>
        <w:pStyle w:val="BodyText"/>
        <w:spacing w:before="127"/>
        <w:ind w:left="620"/>
        <w:jc w:val="both"/>
      </w:pPr>
      <w:r>
        <w:rPr/>
        <w:t>Part</w:t>
      </w:r>
      <w:r>
        <w:rPr>
          <w:spacing w:val="-4"/>
        </w:rPr>
        <w:t> </w:t>
      </w:r>
      <w:r>
        <w:rPr/>
        <w:t>12 of</w:t>
      </w:r>
      <w:r>
        <w:rPr>
          <w:spacing w:val="-4"/>
        </w:rPr>
        <w:t> </w:t>
      </w:r>
      <w:r>
        <w:rPr/>
        <w:t>the Bill</w:t>
      </w:r>
      <w:r>
        <w:rPr>
          <w:spacing w:val="-6"/>
        </w:rPr>
        <w:t> </w:t>
      </w:r>
      <w:r>
        <w:rPr/>
        <w:t>sets</w:t>
      </w:r>
      <w:r>
        <w:rPr>
          <w:spacing w:val="-1"/>
        </w:rPr>
        <w:t> </w:t>
      </w:r>
      <w:r>
        <w:rPr/>
        <w:t>out</w:t>
      </w:r>
      <w:r>
        <w:rPr>
          <w:spacing w:val="-3"/>
        </w:rPr>
        <w:t> </w:t>
      </w:r>
      <w:r>
        <w:rPr/>
        <w:t>transitional</w:t>
      </w:r>
      <w:r>
        <w:rPr>
          <w:spacing w:val="-6"/>
        </w:rPr>
        <w:t> </w:t>
      </w:r>
      <w:r>
        <w:rPr/>
        <w:t>provisions</w:t>
      </w:r>
      <w:r>
        <w:rPr>
          <w:spacing w:val="-1"/>
        </w:rPr>
        <w:t> </w:t>
      </w:r>
      <w:r>
        <w:rPr/>
        <w:t>for</w:t>
      </w:r>
      <w:r>
        <w:rPr>
          <w:spacing w:val="-3"/>
        </w:rPr>
        <w:t> </w:t>
      </w:r>
      <w:r>
        <w:rPr/>
        <w:t>the</w:t>
      </w:r>
      <w:r>
        <w:rPr>
          <w:spacing w:val="-1"/>
        </w:rPr>
        <w:t> </w:t>
      </w:r>
      <w:r>
        <w:rPr/>
        <w:t>Act.</w:t>
      </w:r>
    </w:p>
    <w:p>
      <w:pPr>
        <w:pStyle w:val="BodyText"/>
        <w:spacing w:before="119"/>
        <w:ind w:left="620" w:right="274"/>
        <w:jc w:val="both"/>
        <w:rPr>
          <w:b/>
        </w:rPr>
      </w:pPr>
      <w:r>
        <w:rPr/>
        <w:t>Section 37(1) amends Schedule 2 by extending the list of personal matters for an adult</w:t>
      </w:r>
      <w:r>
        <w:rPr>
          <w:spacing w:val="1"/>
        </w:rPr>
        <w:t> </w:t>
      </w:r>
      <w:r>
        <w:rPr/>
        <w:t>(defined as a matter, other than a special personal matter or special health matter, relating to</w:t>
      </w:r>
      <w:r>
        <w:rPr>
          <w:spacing w:val="-59"/>
        </w:rPr>
        <w:t> </w:t>
      </w:r>
      <w:r>
        <w:rPr/>
        <w:t>the adult's care, including the adult's health care, or welfare), to include who may have</w:t>
      </w:r>
      <w:r>
        <w:rPr>
          <w:spacing w:val="1"/>
        </w:rPr>
        <w:t> </w:t>
      </w:r>
      <w:r>
        <w:rPr/>
        <w:t>access visits or other contact with the adult and advocacy relating to the care and welfare of</w:t>
      </w:r>
      <w:r>
        <w:rPr>
          <w:spacing w:val="1"/>
        </w:rPr>
        <w:t> </w:t>
      </w:r>
      <w:r>
        <w:rPr/>
        <w:t>the adult. Section 37(2) includes entering a plea on a criminal charge for the adult as a</w:t>
      </w:r>
      <w:r>
        <w:rPr>
          <w:spacing w:val="1"/>
        </w:rPr>
        <w:t> </w:t>
      </w:r>
      <w:r>
        <w:rPr/>
        <w:t>special personal matter (one outside the scope of the guardian’s powers). </w:t>
      </w:r>
      <w:r>
        <w:rPr>
          <w:b/>
        </w:rPr>
        <w:t>QAI agrees with</w:t>
      </w:r>
      <w:r>
        <w:rPr>
          <w:b/>
          <w:spacing w:val="1"/>
        </w:rPr>
        <w:t> </w:t>
      </w:r>
      <w:r>
        <w:rPr>
          <w:b/>
        </w:rPr>
        <w:t>the</w:t>
      </w:r>
      <w:r>
        <w:rPr>
          <w:b/>
          <w:spacing w:val="-1"/>
        </w:rPr>
        <w:t> </w:t>
      </w:r>
      <w:r>
        <w:rPr>
          <w:b/>
        </w:rPr>
        <w:t>QLRC’s</w:t>
      </w:r>
      <w:r>
        <w:rPr>
          <w:b/>
          <w:spacing w:val="-1"/>
        </w:rPr>
        <w:t> </w:t>
      </w:r>
      <w:r>
        <w:rPr>
          <w:b/>
        </w:rPr>
        <w:t>position that</w:t>
      </w:r>
      <w:r>
        <w:rPr>
          <w:b/>
          <w:spacing w:val="-4"/>
        </w:rPr>
        <w:t> </w:t>
      </w:r>
      <w:r>
        <w:rPr>
          <w:b/>
        </w:rPr>
        <w:t>these are</w:t>
      </w:r>
      <w:r>
        <w:rPr>
          <w:b/>
          <w:spacing w:val="-5"/>
        </w:rPr>
        <w:t> </w:t>
      </w:r>
      <w:r>
        <w:rPr>
          <w:b/>
        </w:rPr>
        <w:t>appropriate</w:t>
      </w:r>
      <w:r>
        <w:rPr>
          <w:b/>
          <w:spacing w:val="-1"/>
        </w:rPr>
        <w:t> </w:t>
      </w:r>
      <w:r>
        <w:rPr>
          <w:b/>
        </w:rPr>
        <w:t>matters to</w:t>
      </w:r>
      <w:r>
        <w:rPr>
          <w:b/>
          <w:spacing w:val="3"/>
        </w:rPr>
        <w:t> </w:t>
      </w:r>
      <w:r>
        <w:rPr>
          <w:b/>
        </w:rPr>
        <w:t>include.</w:t>
      </w:r>
    </w:p>
    <w:p>
      <w:pPr>
        <w:spacing w:before="118"/>
        <w:ind w:left="620" w:right="0" w:firstLine="0"/>
        <w:jc w:val="both"/>
        <w:rPr>
          <w:b/>
          <w:sz w:val="22"/>
        </w:rPr>
      </w:pPr>
      <w:r>
        <w:rPr>
          <w:b/>
          <w:color w:val="4F81BC"/>
          <w:sz w:val="22"/>
          <w:u w:val="single" w:color="4F81BC"/>
        </w:rPr>
        <w:t>Reforms</w:t>
      </w:r>
      <w:r>
        <w:rPr>
          <w:b/>
          <w:color w:val="4F81BC"/>
          <w:spacing w:val="-2"/>
          <w:sz w:val="22"/>
          <w:u w:val="single" w:color="4F81BC"/>
        </w:rPr>
        <w:t> </w:t>
      </w:r>
      <w:r>
        <w:rPr>
          <w:b/>
          <w:color w:val="4F81BC"/>
          <w:sz w:val="22"/>
          <w:u w:val="single" w:color="4F81BC"/>
        </w:rPr>
        <w:t>to</w:t>
      </w:r>
      <w:r>
        <w:rPr>
          <w:b/>
          <w:color w:val="4F81BC"/>
          <w:spacing w:val="-1"/>
          <w:sz w:val="22"/>
          <w:u w:val="single" w:color="4F81BC"/>
        </w:rPr>
        <w:t> </w:t>
      </w:r>
      <w:r>
        <w:rPr>
          <w:b/>
          <w:color w:val="4F81BC"/>
          <w:sz w:val="22"/>
          <w:u w:val="single" w:color="4F81BC"/>
        </w:rPr>
        <w:t>the </w:t>
      </w:r>
      <w:r>
        <w:rPr>
          <w:b/>
          <w:i/>
          <w:color w:val="4F81BC"/>
          <w:sz w:val="22"/>
          <w:u w:val="single" w:color="4F81BC"/>
        </w:rPr>
        <w:t>Powers</w:t>
      </w:r>
      <w:r>
        <w:rPr>
          <w:b/>
          <w:i/>
          <w:color w:val="4F81BC"/>
          <w:spacing w:val="-1"/>
          <w:sz w:val="22"/>
          <w:u w:val="single" w:color="4F81BC"/>
        </w:rPr>
        <w:t> </w:t>
      </w:r>
      <w:r>
        <w:rPr>
          <w:b/>
          <w:i/>
          <w:color w:val="4F81BC"/>
          <w:sz w:val="22"/>
          <w:u w:val="single" w:color="4F81BC"/>
        </w:rPr>
        <w:t>of</w:t>
      </w:r>
      <w:r>
        <w:rPr>
          <w:b/>
          <w:i/>
          <w:color w:val="4F81BC"/>
          <w:spacing w:val="-4"/>
          <w:sz w:val="22"/>
          <w:u w:val="single" w:color="4F81BC"/>
        </w:rPr>
        <w:t> </w:t>
      </w:r>
      <w:r>
        <w:rPr>
          <w:b/>
          <w:i/>
          <w:color w:val="4F81BC"/>
          <w:sz w:val="22"/>
          <w:u w:val="single" w:color="4F81BC"/>
        </w:rPr>
        <w:t>Attorney</w:t>
      </w:r>
      <w:r>
        <w:rPr>
          <w:b/>
          <w:i/>
          <w:color w:val="4F81BC"/>
          <w:spacing w:val="-2"/>
          <w:sz w:val="22"/>
          <w:u w:val="single" w:color="4F81BC"/>
        </w:rPr>
        <w:t> </w:t>
      </w:r>
      <w:r>
        <w:rPr>
          <w:b/>
          <w:i/>
          <w:color w:val="4F81BC"/>
          <w:sz w:val="22"/>
          <w:u w:val="single" w:color="4F81BC"/>
        </w:rPr>
        <w:t>Act</w:t>
      </w:r>
      <w:r>
        <w:rPr>
          <w:b/>
          <w:i/>
          <w:color w:val="4F81BC"/>
          <w:spacing w:val="-4"/>
          <w:sz w:val="22"/>
          <w:u w:val="single" w:color="4F81BC"/>
        </w:rPr>
        <w:t> </w:t>
      </w:r>
      <w:r>
        <w:rPr>
          <w:b/>
          <w:i/>
          <w:color w:val="4F81BC"/>
          <w:sz w:val="22"/>
          <w:u w:val="single" w:color="4F81BC"/>
        </w:rPr>
        <w:t>1998</w:t>
      </w:r>
      <w:r>
        <w:rPr>
          <w:b/>
          <w:i/>
          <w:color w:val="4F81BC"/>
          <w:spacing w:val="2"/>
          <w:sz w:val="22"/>
          <w:u w:val="single" w:color="4F81BC"/>
        </w:rPr>
        <w:t> </w:t>
      </w:r>
      <w:r>
        <w:rPr>
          <w:b/>
          <w:color w:val="4F81BC"/>
          <w:sz w:val="22"/>
          <w:u w:val="single" w:color="4F81BC"/>
        </w:rPr>
        <w:t>(Qld)</w:t>
      </w:r>
      <w:r>
        <w:rPr>
          <w:b/>
          <w:color w:val="4F81BC"/>
          <w:spacing w:val="-3"/>
          <w:sz w:val="22"/>
          <w:u w:val="single" w:color="4F81BC"/>
        </w:rPr>
        <w:t> </w:t>
      </w:r>
      <w:r>
        <w:rPr>
          <w:b/>
          <w:color w:val="4F81BC"/>
          <w:sz w:val="22"/>
          <w:u w:val="single" w:color="4F81BC"/>
        </w:rPr>
        <w:t>(POA) (Clauses</w:t>
      </w:r>
      <w:r>
        <w:rPr>
          <w:b/>
          <w:color w:val="4F81BC"/>
          <w:spacing w:val="-1"/>
          <w:sz w:val="22"/>
          <w:u w:val="single" w:color="4F81BC"/>
        </w:rPr>
        <w:t> </w:t>
      </w:r>
      <w:r>
        <w:rPr>
          <w:b/>
          <w:color w:val="4F81BC"/>
          <w:sz w:val="22"/>
          <w:u w:val="single" w:color="4F81BC"/>
        </w:rPr>
        <w:t>38 –</w:t>
      </w:r>
      <w:r>
        <w:rPr>
          <w:b/>
          <w:color w:val="4F81BC"/>
          <w:spacing w:val="-2"/>
          <w:sz w:val="22"/>
          <w:u w:val="single" w:color="4F81BC"/>
        </w:rPr>
        <w:t> </w:t>
      </w:r>
      <w:r>
        <w:rPr>
          <w:b/>
          <w:color w:val="4F81BC"/>
          <w:sz w:val="22"/>
          <w:u w:val="single" w:color="4F81BC"/>
        </w:rPr>
        <w:t>65)</w:t>
      </w:r>
    </w:p>
    <w:p>
      <w:pPr>
        <w:pStyle w:val="Heading3"/>
        <w:ind w:right="274"/>
      </w:pPr>
      <w:r>
        <w:rPr>
          <w:b w:val="0"/>
        </w:rPr>
        <w:t>For the reasons noted above, </w:t>
      </w:r>
      <w:r>
        <w:rPr/>
        <w:t>QAI supports the proposal to amend the POA to ensure</w:t>
      </w:r>
      <w:r>
        <w:rPr>
          <w:spacing w:val="1"/>
        </w:rPr>
        <w:t> </w:t>
      </w:r>
      <w:r>
        <w:rPr/>
        <w:t>that all persons or entities performing a function or exercising a power under this Act</w:t>
      </w:r>
      <w:r>
        <w:rPr>
          <w:spacing w:val="1"/>
        </w:rPr>
        <w:t> </w:t>
      </w:r>
      <w:r>
        <w:rPr/>
        <w:t>must not only comply with, but must also apply, the General Principles.</w:t>
      </w:r>
      <w:r>
        <w:rPr>
          <w:spacing w:val="1"/>
        </w:rPr>
        <w:t> </w:t>
      </w:r>
      <w:r>
        <w:rPr/>
        <w:t>QAI supports</w:t>
      </w:r>
      <w:r>
        <w:rPr>
          <w:spacing w:val="-59"/>
        </w:rPr>
        <w:t> </w:t>
      </w:r>
      <w:r>
        <w:rPr/>
        <w:t>the inclusion of an express statement of the (expanded) General Principles and Health</w:t>
      </w:r>
      <w:r>
        <w:rPr>
          <w:spacing w:val="-59"/>
        </w:rPr>
        <w:t> </w:t>
      </w:r>
      <w:r>
        <w:rPr/>
        <w:t>Care</w:t>
      </w:r>
      <w:r>
        <w:rPr>
          <w:spacing w:val="-1"/>
        </w:rPr>
        <w:t> </w:t>
      </w:r>
      <w:r>
        <w:rPr/>
        <w:t>Principals at</w:t>
      </w:r>
      <w:r>
        <w:rPr>
          <w:spacing w:val="-3"/>
        </w:rPr>
        <w:t> </w:t>
      </w:r>
      <w:r>
        <w:rPr/>
        <w:t>the start</w:t>
      </w:r>
      <w:r>
        <w:rPr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/>
        <w:t>the POA.</w:t>
      </w:r>
    </w:p>
    <w:p>
      <w:pPr>
        <w:pStyle w:val="BodyText"/>
        <w:spacing w:before="124"/>
        <w:ind w:left="620" w:right="273"/>
        <w:jc w:val="both"/>
      </w:pPr>
      <w:r>
        <w:rPr/>
        <w:t>Section 40 (Clause 40) amends the meaning of ‘eligible attorney’ for s 29 of the Act, and</w:t>
      </w:r>
      <w:r>
        <w:rPr>
          <w:spacing w:val="1"/>
        </w:rPr>
        <w:t> </w:t>
      </w:r>
      <w:r>
        <w:rPr/>
        <w:t>imposes as an additional eligibility criteria that the person must not have been a ‘paid carer’</w:t>
      </w:r>
      <w:r>
        <w:rPr>
          <w:spacing w:val="1"/>
        </w:rPr>
        <w:t> </w:t>
      </w:r>
      <w:r>
        <w:rPr/>
        <w:t>for the principal in the past three years.</w:t>
      </w:r>
      <w:r>
        <w:rPr>
          <w:spacing w:val="1"/>
        </w:rPr>
        <w:t> </w:t>
      </w:r>
      <w:r>
        <w:rPr/>
        <w:t>As noted above, the distinction must be made</w:t>
      </w:r>
      <w:r>
        <w:rPr>
          <w:spacing w:val="1"/>
        </w:rPr>
        <w:t> </w:t>
      </w:r>
      <w:r>
        <w:rPr/>
        <w:t>between ‘carers’, support workers and ‘service providers’.</w:t>
      </w:r>
      <w:r>
        <w:rPr>
          <w:spacing w:val="1"/>
        </w:rPr>
        <w:t> </w:t>
      </w:r>
      <w:r>
        <w:rPr/>
        <w:t>Further, this requirement could</w:t>
      </w:r>
      <w:r>
        <w:rPr>
          <w:spacing w:val="1"/>
        </w:rPr>
        <w:t> </w:t>
      </w:r>
      <w:r>
        <w:rPr/>
        <w:t>limit a person’s ability to appoint an attorney, particularly if their network is limited.</w:t>
      </w:r>
      <w:r>
        <w:rPr>
          <w:spacing w:val="1"/>
        </w:rPr>
        <w:t> </w:t>
      </w:r>
      <w:r>
        <w:rPr/>
        <w:t>QAI is</w:t>
      </w:r>
      <w:r>
        <w:rPr>
          <w:spacing w:val="1"/>
        </w:rPr>
        <w:t> </w:t>
      </w:r>
      <w:r>
        <w:rPr/>
        <w:t>concerned that the criterion that the attorney has capacity, which was presumably added to</w:t>
      </w:r>
      <w:r>
        <w:rPr>
          <w:spacing w:val="1"/>
        </w:rPr>
        <w:t> </w:t>
      </w:r>
      <w:r>
        <w:rPr/>
        <w:t>lessen the risk of abuse or exploitation, may be difficult to enforce unless the matter ends up</w:t>
      </w:r>
      <w:r>
        <w:rPr>
          <w:spacing w:val="1"/>
        </w:rPr>
        <w:t> </w:t>
      </w:r>
      <w:r>
        <w:rPr/>
        <w:t>before</w:t>
      </w:r>
      <w:r>
        <w:rPr>
          <w:spacing w:val="-1"/>
        </w:rPr>
        <w:t> </w:t>
      </w:r>
      <w:r>
        <w:rPr/>
        <w:t>QCAT.</w:t>
      </w:r>
    </w:p>
    <w:p>
      <w:pPr>
        <w:pStyle w:val="BodyText"/>
        <w:spacing w:before="120"/>
        <w:ind w:left="620" w:right="272"/>
        <w:jc w:val="both"/>
      </w:pPr>
      <w:r>
        <w:rPr/>
        <w:t>QAI supports the amendment contained in Clause 43 (advance health directives) to declare</w:t>
      </w:r>
      <w:r>
        <w:rPr>
          <w:spacing w:val="1"/>
        </w:rPr>
        <w:t> </w:t>
      </w:r>
      <w:r>
        <w:rPr/>
        <w:t>that</w:t>
      </w:r>
      <w:r>
        <w:rPr>
          <w:spacing w:val="23"/>
        </w:rPr>
        <w:t> </w:t>
      </w:r>
      <w:r>
        <w:rPr/>
        <w:t>AHDs</w:t>
      </w:r>
      <w:r>
        <w:rPr>
          <w:spacing w:val="23"/>
        </w:rPr>
        <w:t> </w:t>
      </w:r>
      <w:r>
        <w:rPr/>
        <w:t>may</w:t>
      </w:r>
      <w:r>
        <w:rPr>
          <w:spacing w:val="23"/>
        </w:rPr>
        <w:t> </w:t>
      </w:r>
      <w:r>
        <w:rPr/>
        <w:t>be</w:t>
      </w:r>
      <w:r>
        <w:rPr>
          <w:spacing w:val="22"/>
        </w:rPr>
        <w:t> </w:t>
      </w:r>
      <w:r>
        <w:rPr/>
        <w:t>made</w:t>
      </w:r>
      <w:r>
        <w:rPr>
          <w:spacing w:val="27"/>
        </w:rPr>
        <w:t> </w:t>
      </w:r>
      <w:r>
        <w:rPr/>
        <w:t>by</w:t>
      </w:r>
      <w:r>
        <w:rPr>
          <w:spacing w:val="19"/>
        </w:rPr>
        <w:t> </w:t>
      </w:r>
      <w:r>
        <w:rPr/>
        <w:t>an</w:t>
      </w:r>
      <w:r>
        <w:rPr>
          <w:spacing w:val="23"/>
        </w:rPr>
        <w:t> </w:t>
      </w:r>
      <w:r>
        <w:rPr/>
        <w:t>adult</w:t>
      </w:r>
      <w:r>
        <w:rPr>
          <w:spacing w:val="23"/>
        </w:rPr>
        <w:t> </w:t>
      </w:r>
      <w:r>
        <w:rPr/>
        <w:t>principal</w:t>
      </w:r>
      <w:r>
        <w:rPr>
          <w:spacing w:val="20"/>
        </w:rPr>
        <w:t> </w:t>
      </w:r>
      <w:r>
        <w:rPr/>
        <w:t>who</w:t>
      </w:r>
      <w:r>
        <w:rPr>
          <w:spacing w:val="27"/>
        </w:rPr>
        <w:t> </w:t>
      </w:r>
      <w:r>
        <w:rPr/>
        <w:t>is</w:t>
      </w:r>
      <w:r>
        <w:rPr>
          <w:spacing w:val="27"/>
        </w:rPr>
        <w:t> </w:t>
      </w:r>
      <w:r>
        <w:rPr/>
        <w:t>outside</w:t>
      </w:r>
      <w:r>
        <w:rPr>
          <w:spacing w:val="26"/>
        </w:rPr>
        <w:t> </w:t>
      </w:r>
      <w:r>
        <w:rPr/>
        <w:t>the</w:t>
      </w:r>
      <w:r>
        <w:rPr>
          <w:spacing w:val="27"/>
        </w:rPr>
        <w:t> </w:t>
      </w:r>
      <w:r>
        <w:rPr/>
        <w:t>state,</w:t>
      </w:r>
      <w:r>
        <w:rPr>
          <w:spacing w:val="26"/>
        </w:rPr>
        <w:t> </w:t>
      </w:r>
      <w:r>
        <w:rPr/>
        <w:t>which</w:t>
      </w:r>
      <w:r>
        <w:rPr>
          <w:spacing w:val="26"/>
        </w:rPr>
        <w:t> </w:t>
      </w:r>
      <w:r>
        <w:rPr/>
        <w:t>means</w:t>
      </w:r>
      <w:r>
        <w:rPr>
          <w:spacing w:val="27"/>
        </w:rPr>
        <w:t> </w:t>
      </w:r>
      <w:r>
        <w:rPr/>
        <w:t>that</w:t>
      </w:r>
    </w:p>
    <w:p>
      <w:pPr>
        <w:pStyle w:val="BodyText"/>
        <w:spacing w:before="2"/>
        <w:rPr>
          <w:sz w:val="27"/>
        </w:rPr>
      </w:pPr>
      <w:r>
        <w:rPr/>
        <w:pict>
          <v:rect style="position:absolute;margin-left:72.025002pt;margin-top:16.85001pt;width:144.050pt;height:.79999pt;mso-position-horizontal-relative:page;mso-position-vertical-relative:paragraph;z-index:-15724032;mso-wrap-distance-left:0;mso-wrap-distance-right:0" id="docshape17" filled="true" fillcolor="#000000" stroked="false">
            <v:fill type="solid"/>
            <w10:wrap type="topAndBottom"/>
          </v:rect>
        </w:pict>
      </w:r>
    </w:p>
    <w:p>
      <w:pPr>
        <w:spacing w:line="237" w:lineRule="auto" w:before="97"/>
        <w:ind w:left="620" w:right="548" w:firstLine="0"/>
        <w:jc w:val="left"/>
        <w:rPr>
          <w:sz w:val="18"/>
        </w:rPr>
      </w:pPr>
      <w:r>
        <w:rPr>
          <w:sz w:val="18"/>
          <w:vertAlign w:val="superscript"/>
        </w:rPr>
        <w:t>4</w:t>
      </w:r>
      <w:r>
        <w:rPr>
          <w:sz w:val="18"/>
          <w:vertAlign w:val="baseline"/>
        </w:rPr>
        <w:t> Refer to submission by Victoria Legal Aid petitioning the inclusion of these principles in Commonwealth Law,</w:t>
      </w:r>
      <w:r>
        <w:rPr>
          <w:spacing w:val="-48"/>
          <w:sz w:val="18"/>
          <w:vertAlign w:val="baseline"/>
        </w:rPr>
        <w:t> </w:t>
      </w:r>
      <w:r>
        <w:rPr>
          <w:sz w:val="18"/>
          <w:vertAlign w:val="baseline"/>
        </w:rPr>
        <w:t>which we contend should appear in state law: </w:t>
      </w:r>
      <w:r>
        <w:rPr>
          <w:i/>
          <w:sz w:val="18"/>
          <w:vertAlign w:val="baseline"/>
        </w:rPr>
        <w:t>Equality, Capacity and Disability in Commonwealth Laws :</w:t>
      </w:r>
      <w:r>
        <w:rPr>
          <w:i/>
          <w:spacing w:val="1"/>
          <w:sz w:val="18"/>
          <w:vertAlign w:val="baseline"/>
        </w:rPr>
        <w:t> </w:t>
      </w:r>
      <w:r>
        <w:rPr>
          <w:i/>
          <w:sz w:val="18"/>
          <w:vertAlign w:val="baseline"/>
        </w:rPr>
        <w:t>Submission</w:t>
      </w:r>
      <w:r>
        <w:rPr>
          <w:i/>
          <w:spacing w:val="-4"/>
          <w:sz w:val="18"/>
          <w:vertAlign w:val="baseline"/>
        </w:rPr>
        <w:t> </w:t>
      </w:r>
      <w:r>
        <w:rPr>
          <w:i/>
          <w:sz w:val="18"/>
          <w:vertAlign w:val="baseline"/>
        </w:rPr>
        <w:t>to</w:t>
      </w:r>
      <w:r>
        <w:rPr>
          <w:i/>
          <w:spacing w:val="-3"/>
          <w:sz w:val="18"/>
          <w:vertAlign w:val="baseline"/>
        </w:rPr>
        <w:t> </w:t>
      </w:r>
      <w:r>
        <w:rPr>
          <w:i/>
          <w:sz w:val="18"/>
          <w:vertAlign w:val="baseline"/>
        </w:rPr>
        <w:t>the</w:t>
      </w:r>
      <w:r>
        <w:rPr>
          <w:i/>
          <w:spacing w:val="-4"/>
          <w:sz w:val="18"/>
          <w:vertAlign w:val="baseline"/>
        </w:rPr>
        <w:t> </w:t>
      </w:r>
      <w:r>
        <w:rPr>
          <w:i/>
          <w:sz w:val="18"/>
          <w:vertAlign w:val="baseline"/>
        </w:rPr>
        <w:t>Australian Law</w:t>
      </w:r>
      <w:r>
        <w:rPr>
          <w:i/>
          <w:spacing w:val="3"/>
          <w:sz w:val="18"/>
          <w:vertAlign w:val="baseline"/>
        </w:rPr>
        <w:t> </w:t>
      </w:r>
      <w:r>
        <w:rPr>
          <w:i/>
          <w:sz w:val="18"/>
          <w:vertAlign w:val="baseline"/>
        </w:rPr>
        <w:t>Reform</w:t>
      </w:r>
      <w:r>
        <w:rPr>
          <w:i/>
          <w:spacing w:val="2"/>
          <w:sz w:val="18"/>
          <w:vertAlign w:val="baseline"/>
        </w:rPr>
        <w:t> </w:t>
      </w:r>
      <w:r>
        <w:rPr>
          <w:i/>
          <w:sz w:val="18"/>
          <w:vertAlign w:val="baseline"/>
        </w:rPr>
        <w:t>Commission’s</w:t>
      </w:r>
      <w:r>
        <w:rPr>
          <w:i/>
          <w:spacing w:val="-1"/>
          <w:sz w:val="18"/>
          <w:vertAlign w:val="baseline"/>
        </w:rPr>
        <w:t> </w:t>
      </w:r>
      <w:r>
        <w:rPr>
          <w:i/>
          <w:sz w:val="18"/>
          <w:vertAlign w:val="baseline"/>
        </w:rPr>
        <w:t>Issues</w:t>
      </w:r>
      <w:r>
        <w:rPr>
          <w:i/>
          <w:spacing w:val="-2"/>
          <w:sz w:val="18"/>
          <w:vertAlign w:val="baseline"/>
        </w:rPr>
        <w:t> </w:t>
      </w:r>
      <w:r>
        <w:rPr>
          <w:i/>
          <w:sz w:val="18"/>
          <w:vertAlign w:val="baseline"/>
        </w:rPr>
        <w:t>Paper</w:t>
      </w:r>
      <w:r>
        <w:rPr>
          <w:i/>
          <w:spacing w:val="1"/>
          <w:sz w:val="18"/>
          <w:vertAlign w:val="baseline"/>
        </w:rPr>
        <w:t> </w:t>
      </w:r>
      <w:r>
        <w:rPr>
          <w:i/>
          <w:sz w:val="18"/>
          <w:vertAlign w:val="baseline"/>
        </w:rPr>
        <w:t>(January</w:t>
      </w:r>
      <w:r>
        <w:rPr>
          <w:i/>
          <w:spacing w:val="-2"/>
          <w:sz w:val="18"/>
          <w:vertAlign w:val="baseline"/>
        </w:rPr>
        <w:t> </w:t>
      </w:r>
      <w:r>
        <w:rPr>
          <w:i/>
          <w:sz w:val="18"/>
          <w:vertAlign w:val="baseline"/>
        </w:rPr>
        <w:t>2014</w:t>
      </w:r>
      <w:r>
        <w:rPr>
          <w:sz w:val="18"/>
          <w:vertAlign w:val="baseline"/>
        </w:rPr>
        <w:t>).</w:t>
      </w:r>
    </w:p>
    <w:p>
      <w:pPr>
        <w:spacing w:after="0" w:line="237" w:lineRule="auto"/>
        <w:jc w:val="left"/>
        <w:rPr>
          <w:sz w:val="18"/>
        </w:rPr>
        <w:sectPr>
          <w:pgSz w:w="11910" w:h="16840"/>
          <w:pgMar w:header="0" w:footer="1907" w:top="1080" w:bottom="2100" w:left="820" w:right="1160"/>
        </w:sectPr>
      </w:pPr>
    </w:p>
    <w:p>
      <w:pPr>
        <w:pStyle w:val="BodyText"/>
        <w:spacing w:before="74"/>
        <w:ind w:left="620" w:right="281"/>
        <w:jc w:val="both"/>
      </w:pPr>
      <w:r>
        <w:rPr/>
        <w:t>regardless of whether person lives interstate or overseas and makes an AHD under Qld</w:t>
      </w:r>
      <w:r>
        <w:rPr>
          <w:spacing w:val="1"/>
        </w:rPr>
        <w:t> </w:t>
      </w:r>
      <w:r>
        <w:rPr/>
        <w:t>legislation it is valid in Qld.</w:t>
      </w:r>
      <w:r>
        <w:rPr>
          <w:spacing w:val="1"/>
        </w:rPr>
        <w:t> </w:t>
      </w:r>
      <w:r>
        <w:rPr/>
        <w:t>Similarly, QAI supports the amendment contained in Clause 41</w:t>
      </w:r>
      <w:r>
        <w:rPr>
          <w:spacing w:val="1"/>
        </w:rPr>
        <w:t> </w:t>
      </w:r>
      <w:r>
        <w:rPr/>
        <w:t>permitting</w:t>
      </w:r>
      <w:r>
        <w:rPr>
          <w:spacing w:val="-1"/>
        </w:rPr>
        <w:t> </w:t>
      </w:r>
      <w:r>
        <w:rPr/>
        <w:t>an EPOA</w:t>
      </w:r>
      <w:r>
        <w:rPr>
          <w:spacing w:val="-1"/>
        </w:rPr>
        <w:t> </w:t>
      </w:r>
      <w:r>
        <w:rPr/>
        <w:t>to be</w:t>
      </w:r>
      <w:r>
        <w:rPr>
          <w:spacing w:val="-4"/>
        </w:rPr>
        <w:t> </w:t>
      </w:r>
      <w:r>
        <w:rPr/>
        <w:t>made</w:t>
      </w:r>
      <w:r>
        <w:rPr>
          <w:spacing w:val="-5"/>
        </w:rPr>
        <w:t> </w:t>
      </w:r>
      <w:r>
        <w:rPr/>
        <w:t>by</w:t>
      </w:r>
      <w:r>
        <w:rPr>
          <w:spacing w:val="-4"/>
        </w:rPr>
        <w:t> </w:t>
      </w:r>
      <w:r>
        <w:rPr/>
        <w:t>a principal</w:t>
      </w:r>
      <w:r>
        <w:rPr>
          <w:spacing w:val="-4"/>
        </w:rPr>
        <w:t> </w:t>
      </w:r>
      <w:r>
        <w:rPr/>
        <w:t>residing outside</w:t>
      </w:r>
      <w:r>
        <w:rPr>
          <w:spacing w:val="-1"/>
        </w:rPr>
        <w:t> </w:t>
      </w:r>
      <w:r>
        <w:rPr/>
        <w:t>of</w:t>
      </w:r>
      <w:r>
        <w:rPr>
          <w:spacing w:val="-3"/>
        </w:rPr>
        <w:t> </w:t>
      </w:r>
      <w:r>
        <w:rPr/>
        <w:t>the state.</w:t>
      </w:r>
    </w:p>
    <w:p>
      <w:pPr>
        <w:pStyle w:val="BodyText"/>
        <w:spacing w:before="117"/>
        <w:ind w:left="620" w:right="275"/>
        <w:jc w:val="both"/>
      </w:pPr>
      <w:r>
        <w:rPr/>
        <w:t>Section 41 is amended by Clause 44 to require that a principal may only make an enduring</w:t>
      </w:r>
      <w:r>
        <w:rPr>
          <w:spacing w:val="1"/>
        </w:rPr>
        <w:t> </w:t>
      </w:r>
      <w:r>
        <w:rPr/>
        <w:t>power of attorney if they are capable of making it freely and voluntarily.</w:t>
      </w:r>
      <w:r>
        <w:rPr>
          <w:spacing w:val="1"/>
        </w:rPr>
        <w:t> </w:t>
      </w:r>
      <w:r>
        <w:rPr/>
        <w:t>A further subsection</w:t>
      </w:r>
      <w:r>
        <w:rPr>
          <w:spacing w:val="1"/>
        </w:rPr>
        <w:t> </w:t>
      </w:r>
      <w:r>
        <w:rPr/>
        <w:t>is added (s 41(3)) to clarify that the definition of ‘capacity’</w:t>
      </w:r>
      <w:r>
        <w:rPr>
          <w:spacing w:val="61"/>
        </w:rPr>
        <w:t> </w:t>
      </w:r>
      <w:r>
        <w:rPr/>
        <w:t>in Schedule 3 does not apply to</w:t>
      </w:r>
      <w:r>
        <w:rPr>
          <w:spacing w:val="1"/>
        </w:rPr>
        <w:t> </w:t>
      </w:r>
      <w:r>
        <w:rPr/>
        <w:t>this section.</w:t>
      </w:r>
      <w:r>
        <w:rPr>
          <w:spacing w:val="1"/>
        </w:rPr>
        <w:t> </w:t>
      </w:r>
      <w:r>
        <w:rPr/>
        <w:t>A similar qualification is added to s 42 by Clause 45, with the effect that the</w:t>
      </w:r>
      <w:r>
        <w:rPr>
          <w:spacing w:val="1"/>
        </w:rPr>
        <w:t> </w:t>
      </w:r>
      <w:r>
        <w:rPr/>
        <w:t>definition of capacity also does not apply to the principal’s capacity to make an advance</w:t>
      </w:r>
      <w:r>
        <w:rPr>
          <w:spacing w:val="1"/>
        </w:rPr>
        <w:t> </w:t>
      </w:r>
      <w:r>
        <w:rPr/>
        <w:t>health directive.</w:t>
      </w:r>
      <w:r>
        <w:rPr>
          <w:spacing w:val="1"/>
        </w:rPr>
        <w:t> </w:t>
      </w:r>
      <w:r>
        <w:rPr/>
        <w:t>QAI supports the attempt to balance accessibility and user-friendliness of</w:t>
      </w:r>
      <w:r>
        <w:rPr>
          <w:spacing w:val="1"/>
        </w:rPr>
        <w:t> </w:t>
      </w:r>
      <w:r>
        <w:rPr/>
        <w:t>these orders</w:t>
      </w:r>
      <w:r>
        <w:rPr>
          <w:spacing w:val="1"/>
        </w:rPr>
        <w:t> </w:t>
      </w:r>
      <w:r>
        <w:rPr/>
        <w:t>whilst</w:t>
      </w:r>
      <w:r>
        <w:rPr>
          <w:spacing w:val="1"/>
        </w:rPr>
        <w:t> </w:t>
      </w:r>
      <w:r>
        <w:rPr/>
        <w:t>safeguarding</w:t>
      </w:r>
      <w:r>
        <w:rPr>
          <w:spacing w:val="1"/>
        </w:rPr>
        <w:t> </w:t>
      </w:r>
      <w:r>
        <w:rPr/>
        <w:t>against</w:t>
      </w:r>
      <w:r>
        <w:rPr>
          <w:spacing w:val="1"/>
        </w:rPr>
        <w:t> </w:t>
      </w:r>
      <w:r>
        <w:rPr/>
        <w:t>abuse.</w:t>
      </w:r>
      <w:r>
        <w:rPr>
          <w:spacing w:val="1"/>
        </w:rPr>
        <w:t> </w:t>
      </w:r>
      <w:r>
        <w:rPr/>
        <w:t>However,</w:t>
      </w:r>
      <w:r>
        <w:rPr>
          <w:spacing w:val="1"/>
        </w:rPr>
        <w:t> </w:t>
      </w:r>
      <w:r>
        <w:rPr/>
        <w:t>QAI</w:t>
      </w:r>
      <w:r>
        <w:rPr>
          <w:spacing w:val="1"/>
        </w:rPr>
        <w:t> </w:t>
      </w:r>
      <w:r>
        <w:rPr/>
        <w:t>is</w:t>
      </w:r>
      <w:r>
        <w:rPr>
          <w:spacing w:val="1"/>
        </w:rPr>
        <w:t> </w:t>
      </w:r>
      <w:r>
        <w:rPr/>
        <w:t>concerned that</w:t>
      </w:r>
      <w:r>
        <w:rPr>
          <w:spacing w:val="1"/>
        </w:rPr>
        <w:t> </w:t>
      </w:r>
      <w:r>
        <w:rPr/>
        <w:t>this</w:t>
      </w:r>
      <w:r>
        <w:rPr>
          <w:spacing w:val="1"/>
        </w:rPr>
        <w:t> </w:t>
      </w:r>
      <w:r>
        <w:rPr/>
        <w:t>definition may not contain appropriate safeguards.   QAI recommends that prior to approval</w:t>
      </w:r>
      <w:r>
        <w:rPr>
          <w:spacing w:val="1"/>
        </w:rPr>
        <w:t> </w:t>
      </w:r>
      <w:r>
        <w:rPr/>
        <w:t>of applications, there are assurances that the person has adequate and appropriate support</w:t>
      </w:r>
      <w:r>
        <w:rPr>
          <w:spacing w:val="1"/>
        </w:rPr>
        <w:t> </w:t>
      </w:r>
      <w:r>
        <w:rPr/>
        <w:t>to</w:t>
      </w:r>
      <w:r>
        <w:rPr>
          <w:spacing w:val="-1"/>
        </w:rPr>
        <w:t> </w:t>
      </w:r>
      <w:r>
        <w:rPr/>
        <w:t>understand the</w:t>
      </w:r>
      <w:r>
        <w:rPr>
          <w:spacing w:val="-1"/>
        </w:rPr>
        <w:t> </w:t>
      </w:r>
      <w:r>
        <w:rPr/>
        <w:t>consequences of</w:t>
      </w:r>
      <w:r>
        <w:rPr>
          <w:spacing w:val="-3"/>
        </w:rPr>
        <w:t> </w:t>
      </w:r>
      <w:r>
        <w:rPr/>
        <w:t>this</w:t>
      </w:r>
      <w:r>
        <w:rPr>
          <w:spacing w:val="-1"/>
        </w:rPr>
        <w:t> </w:t>
      </w:r>
      <w:r>
        <w:rPr/>
        <w:t>application.</w:t>
      </w:r>
    </w:p>
    <w:p>
      <w:pPr>
        <w:pStyle w:val="BodyText"/>
        <w:spacing w:before="123"/>
        <w:ind w:left="620" w:right="270"/>
        <w:jc w:val="both"/>
      </w:pPr>
      <w:r>
        <w:rPr/>
        <w:t>While we agree with differentiating this test from the test for capacity used elsewhere in the</w:t>
      </w:r>
      <w:r>
        <w:rPr>
          <w:spacing w:val="1"/>
        </w:rPr>
        <w:t> </w:t>
      </w:r>
      <w:r>
        <w:rPr/>
        <w:t>Act, we emphasise the importance of including appropriate safeguards.</w:t>
      </w:r>
      <w:r>
        <w:rPr>
          <w:spacing w:val="1"/>
        </w:rPr>
        <w:t> </w:t>
      </w:r>
      <w:r>
        <w:rPr/>
        <w:t>QAI supports other</w:t>
      </w:r>
      <w:r>
        <w:rPr>
          <w:spacing w:val="1"/>
        </w:rPr>
        <w:t> </w:t>
      </w:r>
      <w:r>
        <w:rPr/>
        <w:t>amendments</w:t>
      </w:r>
      <w:r>
        <w:rPr>
          <w:spacing w:val="33"/>
        </w:rPr>
        <w:t> </w:t>
      </w:r>
      <w:r>
        <w:rPr/>
        <w:t>made</w:t>
      </w:r>
      <w:r>
        <w:rPr>
          <w:spacing w:val="38"/>
        </w:rPr>
        <w:t> </w:t>
      </w:r>
      <w:r>
        <w:rPr/>
        <w:t>to</w:t>
      </w:r>
      <w:r>
        <w:rPr>
          <w:spacing w:val="38"/>
        </w:rPr>
        <w:t> </w:t>
      </w:r>
      <w:r>
        <w:rPr/>
        <w:t>ensure</w:t>
      </w:r>
      <w:r>
        <w:rPr>
          <w:spacing w:val="38"/>
        </w:rPr>
        <w:t> </w:t>
      </w:r>
      <w:r>
        <w:rPr/>
        <w:t>accessibility</w:t>
      </w:r>
      <w:r>
        <w:rPr>
          <w:spacing w:val="34"/>
        </w:rPr>
        <w:t> </w:t>
      </w:r>
      <w:r>
        <w:rPr/>
        <w:t>and</w:t>
      </w:r>
      <w:r>
        <w:rPr>
          <w:spacing w:val="37"/>
        </w:rPr>
        <w:t> </w:t>
      </w:r>
      <w:r>
        <w:rPr/>
        <w:t>simplicity</w:t>
      </w:r>
      <w:r>
        <w:rPr>
          <w:spacing w:val="34"/>
        </w:rPr>
        <w:t> </w:t>
      </w:r>
      <w:r>
        <w:rPr/>
        <w:t>of</w:t>
      </w:r>
      <w:r>
        <w:rPr>
          <w:spacing w:val="39"/>
        </w:rPr>
        <w:t> </w:t>
      </w:r>
      <w:r>
        <w:rPr/>
        <w:t>these</w:t>
      </w:r>
      <w:r>
        <w:rPr>
          <w:spacing w:val="38"/>
        </w:rPr>
        <w:t> </w:t>
      </w:r>
      <w:r>
        <w:rPr/>
        <w:t>orders</w:t>
      </w:r>
      <w:r>
        <w:rPr>
          <w:spacing w:val="38"/>
        </w:rPr>
        <w:t> </w:t>
      </w:r>
      <w:r>
        <w:rPr/>
        <w:t>(such</w:t>
      </w:r>
      <w:r>
        <w:rPr>
          <w:spacing w:val="34"/>
        </w:rPr>
        <w:t> </w:t>
      </w:r>
      <w:r>
        <w:rPr/>
        <w:t>as</w:t>
      </w:r>
      <w:r>
        <w:rPr>
          <w:spacing w:val="37"/>
        </w:rPr>
        <w:t> </w:t>
      </w:r>
      <w:r>
        <w:rPr/>
        <w:t>to</w:t>
      </w:r>
      <w:r>
        <w:rPr>
          <w:spacing w:val="38"/>
        </w:rPr>
        <w:t> </w:t>
      </w:r>
      <w:r>
        <w:rPr/>
        <w:t>the</w:t>
      </w:r>
      <w:r>
        <w:rPr>
          <w:spacing w:val="-59"/>
        </w:rPr>
        <w:t> </w:t>
      </w:r>
      <w:r>
        <w:rPr/>
        <w:t>proof</w:t>
      </w:r>
      <w:r>
        <w:rPr>
          <w:spacing w:val="-4"/>
        </w:rPr>
        <w:t> </w:t>
      </w:r>
      <w:r>
        <w:rPr/>
        <w:t>requirements for</w:t>
      </w:r>
      <w:r>
        <w:rPr>
          <w:spacing w:val="-3"/>
        </w:rPr>
        <w:t> </w:t>
      </w:r>
      <w:r>
        <w:rPr/>
        <w:t>enduring documents).</w:t>
      </w:r>
    </w:p>
    <w:p>
      <w:pPr>
        <w:spacing w:before="116"/>
        <w:ind w:left="620" w:right="0" w:firstLine="0"/>
        <w:jc w:val="both"/>
        <w:rPr>
          <w:b/>
          <w:sz w:val="22"/>
        </w:rPr>
      </w:pPr>
      <w:r>
        <w:rPr>
          <w:b/>
          <w:color w:val="4F81BC"/>
          <w:sz w:val="22"/>
          <w:u w:val="single" w:color="4F81BC"/>
        </w:rPr>
        <w:t>Reforms</w:t>
      </w:r>
      <w:r>
        <w:rPr>
          <w:b/>
          <w:color w:val="4F81BC"/>
          <w:spacing w:val="-3"/>
          <w:sz w:val="22"/>
          <w:u w:val="single" w:color="4F81BC"/>
        </w:rPr>
        <w:t> </w:t>
      </w:r>
      <w:r>
        <w:rPr>
          <w:b/>
          <w:color w:val="4F81BC"/>
          <w:sz w:val="22"/>
          <w:u w:val="single" w:color="4F81BC"/>
        </w:rPr>
        <w:t>to</w:t>
      </w:r>
      <w:r>
        <w:rPr>
          <w:b/>
          <w:color w:val="4F81BC"/>
          <w:spacing w:val="-1"/>
          <w:sz w:val="22"/>
          <w:u w:val="single" w:color="4F81BC"/>
        </w:rPr>
        <w:t> </w:t>
      </w:r>
      <w:r>
        <w:rPr>
          <w:b/>
          <w:color w:val="4F81BC"/>
          <w:sz w:val="22"/>
          <w:u w:val="single" w:color="4F81BC"/>
        </w:rPr>
        <w:t>the</w:t>
      </w:r>
      <w:r>
        <w:rPr>
          <w:b/>
          <w:color w:val="4F81BC"/>
          <w:spacing w:val="-2"/>
          <w:sz w:val="22"/>
          <w:u w:val="single" w:color="4F81BC"/>
        </w:rPr>
        <w:t> </w:t>
      </w:r>
      <w:r>
        <w:rPr>
          <w:b/>
          <w:i/>
          <w:color w:val="4F81BC"/>
          <w:sz w:val="22"/>
          <w:u w:val="single" w:color="4F81BC"/>
        </w:rPr>
        <w:t>Public</w:t>
      </w:r>
      <w:r>
        <w:rPr>
          <w:b/>
          <w:i/>
          <w:color w:val="4F81BC"/>
          <w:spacing w:val="-2"/>
          <w:sz w:val="22"/>
          <w:u w:val="single" w:color="4F81BC"/>
        </w:rPr>
        <w:t> </w:t>
      </w:r>
      <w:r>
        <w:rPr>
          <w:b/>
          <w:i/>
          <w:color w:val="4F81BC"/>
          <w:sz w:val="22"/>
          <w:u w:val="single" w:color="4F81BC"/>
        </w:rPr>
        <w:t>Guardian</w:t>
      </w:r>
      <w:r>
        <w:rPr>
          <w:b/>
          <w:i/>
          <w:color w:val="4F81BC"/>
          <w:spacing w:val="-2"/>
          <w:sz w:val="22"/>
          <w:u w:val="single" w:color="4F81BC"/>
        </w:rPr>
        <w:t> </w:t>
      </w:r>
      <w:r>
        <w:rPr>
          <w:b/>
          <w:i/>
          <w:color w:val="4F81BC"/>
          <w:sz w:val="22"/>
          <w:u w:val="single" w:color="4F81BC"/>
        </w:rPr>
        <w:t>Act</w:t>
      </w:r>
      <w:r>
        <w:rPr>
          <w:b/>
          <w:i/>
          <w:color w:val="4F81BC"/>
          <w:spacing w:val="-2"/>
          <w:sz w:val="22"/>
          <w:u w:val="single" w:color="4F81BC"/>
        </w:rPr>
        <w:t> </w:t>
      </w:r>
      <w:r>
        <w:rPr>
          <w:b/>
          <w:i/>
          <w:color w:val="4F81BC"/>
          <w:sz w:val="22"/>
          <w:u w:val="single" w:color="4F81BC"/>
        </w:rPr>
        <w:t>2014</w:t>
      </w:r>
      <w:r>
        <w:rPr>
          <w:b/>
          <w:i/>
          <w:color w:val="4F81BC"/>
          <w:spacing w:val="-1"/>
          <w:sz w:val="22"/>
          <w:u w:val="single" w:color="4F81BC"/>
        </w:rPr>
        <w:t> </w:t>
      </w:r>
      <w:r>
        <w:rPr>
          <w:b/>
          <w:color w:val="4F81BC"/>
          <w:sz w:val="22"/>
          <w:u w:val="single" w:color="4F81BC"/>
        </w:rPr>
        <w:t>(Qld)</w:t>
      </w:r>
      <w:r>
        <w:rPr>
          <w:b/>
          <w:color w:val="4F81BC"/>
          <w:spacing w:val="-4"/>
          <w:sz w:val="22"/>
          <w:u w:val="single" w:color="4F81BC"/>
        </w:rPr>
        <w:t> </w:t>
      </w:r>
      <w:r>
        <w:rPr>
          <w:b/>
          <w:color w:val="4F81BC"/>
          <w:sz w:val="22"/>
          <w:u w:val="single" w:color="4F81BC"/>
        </w:rPr>
        <w:t>(PGA)</w:t>
      </w:r>
      <w:r>
        <w:rPr>
          <w:b/>
          <w:color w:val="4F81BC"/>
          <w:spacing w:val="-4"/>
          <w:sz w:val="22"/>
          <w:u w:val="single" w:color="4F81BC"/>
        </w:rPr>
        <w:t> </w:t>
      </w:r>
      <w:r>
        <w:rPr>
          <w:b/>
          <w:color w:val="4F81BC"/>
          <w:sz w:val="22"/>
          <w:u w:val="single" w:color="4F81BC"/>
        </w:rPr>
        <w:t>(Clauses</w:t>
      </w:r>
      <w:r>
        <w:rPr>
          <w:b/>
          <w:color w:val="4F81BC"/>
          <w:spacing w:val="-2"/>
          <w:sz w:val="22"/>
          <w:u w:val="single" w:color="4F81BC"/>
        </w:rPr>
        <w:t> </w:t>
      </w:r>
      <w:r>
        <w:rPr>
          <w:b/>
          <w:color w:val="4F81BC"/>
          <w:sz w:val="22"/>
          <w:u w:val="single" w:color="4F81BC"/>
        </w:rPr>
        <w:t>66 –</w:t>
      </w:r>
      <w:r>
        <w:rPr>
          <w:b/>
          <w:color w:val="4F81BC"/>
          <w:spacing w:val="-2"/>
          <w:sz w:val="22"/>
          <w:u w:val="single" w:color="4F81BC"/>
        </w:rPr>
        <w:t> </w:t>
      </w:r>
      <w:r>
        <w:rPr>
          <w:b/>
          <w:color w:val="4F81BC"/>
          <w:sz w:val="22"/>
          <w:u w:val="single" w:color="4F81BC"/>
        </w:rPr>
        <w:t>75)</w:t>
      </w:r>
    </w:p>
    <w:p>
      <w:pPr>
        <w:pStyle w:val="BodyText"/>
        <w:spacing w:before="123"/>
        <w:ind w:left="620" w:right="278"/>
        <w:jc w:val="both"/>
      </w:pPr>
      <w:r>
        <w:rPr/>
        <w:t>The definition of ‘personal matter’ in Schedule 2 of the Act is extended by the addition of</w:t>
      </w:r>
      <w:r>
        <w:rPr>
          <w:spacing w:val="1"/>
        </w:rPr>
        <w:t> </w:t>
      </w:r>
      <w:r>
        <w:rPr/>
        <w:t>those who may have access visits to, or other contact with, the principal; and advocacy</w:t>
      </w:r>
      <w:r>
        <w:rPr>
          <w:spacing w:val="1"/>
        </w:rPr>
        <w:t> </w:t>
      </w:r>
      <w:r>
        <w:rPr/>
        <w:t>relating to the care or welfare of the principal. The definition of special personal matters is</w:t>
      </w:r>
      <w:r>
        <w:rPr>
          <w:spacing w:val="1"/>
        </w:rPr>
        <w:t> </w:t>
      </w:r>
      <w:r>
        <w:rPr/>
        <w:t>extended to include entering a plea on a criminal charge for the principal.</w:t>
      </w:r>
      <w:r>
        <w:rPr>
          <w:spacing w:val="62"/>
        </w:rPr>
        <w:t> </w:t>
      </w:r>
      <w:r>
        <w:rPr/>
        <w:t>QAI supports</w:t>
      </w:r>
      <w:r>
        <w:rPr>
          <w:spacing w:val="1"/>
        </w:rPr>
        <w:t> </w:t>
      </w:r>
      <w:r>
        <w:rPr/>
        <w:t>these</w:t>
      </w:r>
      <w:r>
        <w:rPr>
          <w:spacing w:val="-5"/>
        </w:rPr>
        <w:t> </w:t>
      </w:r>
      <w:r>
        <w:rPr/>
        <w:t>amendments.</w:t>
      </w:r>
    </w:p>
    <w:p>
      <w:pPr>
        <w:pStyle w:val="Heading3"/>
        <w:spacing w:before="115"/>
      </w:pPr>
      <w:r>
        <w:rPr>
          <w:color w:val="4F81BC"/>
        </w:rPr>
        <w:t>Community</w:t>
      </w:r>
      <w:r>
        <w:rPr>
          <w:color w:val="4F81BC"/>
          <w:spacing w:val="-9"/>
        </w:rPr>
        <w:t> </w:t>
      </w:r>
      <w:r>
        <w:rPr>
          <w:color w:val="4F81BC"/>
        </w:rPr>
        <w:t>Visitors</w:t>
      </w:r>
    </w:p>
    <w:p>
      <w:pPr>
        <w:spacing w:line="242" w:lineRule="auto" w:before="120"/>
        <w:ind w:left="620" w:right="278" w:firstLine="0"/>
        <w:jc w:val="both"/>
        <w:rPr>
          <w:sz w:val="22"/>
        </w:rPr>
      </w:pPr>
      <w:r>
        <w:rPr>
          <w:b/>
          <w:sz w:val="22"/>
        </w:rPr>
        <w:t>QAI supports the broadening, by Clause 73, to the scope of s 43 of the GAA to permit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persons with an obvious interest in the adult to also be able to request a community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visitor visit a visitable site.</w:t>
      </w:r>
      <w:r>
        <w:rPr>
          <w:b/>
          <w:spacing w:val="1"/>
          <w:sz w:val="22"/>
        </w:rPr>
        <w:t> </w:t>
      </w:r>
      <w:r>
        <w:rPr>
          <w:sz w:val="22"/>
        </w:rPr>
        <w:t>We query whether this person will also be entitled to receive a</w:t>
      </w:r>
      <w:r>
        <w:rPr>
          <w:spacing w:val="1"/>
          <w:sz w:val="22"/>
        </w:rPr>
        <w:t> </w:t>
      </w:r>
      <w:r>
        <w:rPr>
          <w:sz w:val="22"/>
        </w:rPr>
        <w:t>copy of the Community Visitors report of the visit, and submit that to do so would be</w:t>
      </w:r>
      <w:r>
        <w:rPr>
          <w:spacing w:val="1"/>
          <w:sz w:val="22"/>
        </w:rPr>
        <w:t> </w:t>
      </w:r>
      <w:r>
        <w:rPr>
          <w:sz w:val="22"/>
        </w:rPr>
        <w:t>appropriate and would also bring the legislation into greater alignment not only with the</w:t>
      </w:r>
      <w:r>
        <w:rPr>
          <w:spacing w:val="1"/>
          <w:sz w:val="22"/>
        </w:rPr>
        <w:t> </w:t>
      </w:r>
      <w:r>
        <w:rPr>
          <w:sz w:val="22"/>
        </w:rPr>
        <w:t>CRPD</w:t>
      </w:r>
      <w:r>
        <w:rPr>
          <w:spacing w:val="-2"/>
          <w:sz w:val="22"/>
        </w:rPr>
        <w:t> </w:t>
      </w:r>
      <w:r>
        <w:rPr>
          <w:sz w:val="22"/>
        </w:rPr>
        <w:t>but</w:t>
      </w:r>
      <w:r>
        <w:rPr>
          <w:spacing w:val="-3"/>
          <w:sz w:val="22"/>
        </w:rPr>
        <w:t> </w:t>
      </w:r>
      <w:r>
        <w:rPr>
          <w:sz w:val="22"/>
        </w:rPr>
        <w:t>with the requirements</w:t>
      </w:r>
      <w:r>
        <w:rPr>
          <w:spacing w:val="-1"/>
          <w:sz w:val="22"/>
        </w:rPr>
        <w:t> </w:t>
      </w:r>
      <w:r>
        <w:rPr>
          <w:sz w:val="22"/>
        </w:rPr>
        <w:t>of</w:t>
      </w:r>
      <w:r>
        <w:rPr>
          <w:spacing w:val="-3"/>
          <w:sz w:val="22"/>
        </w:rPr>
        <w:t> </w:t>
      </w:r>
      <w:r>
        <w:rPr>
          <w:sz w:val="22"/>
        </w:rPr>
        <w:t>natural</w:t>
      </w:r>
      <w:r>
        <w:rPr>
          <w:spacing w:val="-2"/>
          <w:sz w:val="22"/>
        </w:rPr>
        <w:t> </w:t>
      </w:r>
      <w:r>
        <w:rPr>
          <w:sz w:val="22"/>
        </w:rPr>
        <w:t>justice.</w:t>
      </w:r>
    </w:p>
    <w:p>
      <w:pPr>
        <w:spacing w:before="107"/>
        <w:ind w:left="620" w:right="0" w:firstLine="0"/>
        <w:jc w:val="left"/>
        <w:rPr>
          <w:b/>
          <w:sz w:val="22"/>
        </w:rPr>
      </w:pPr>
      <w:r>
        <w:rPr>
          <w:b/>
          <w:color w:val="4F81BC"/>
          <w:sz w:val="22"/>
          <w:u w:val="single" w:color="4F81BC"/>
        </w:rPr>
        <w:t>Conclusion</w:t>
      </w:r>
    </w:p>
    <w:p>
      <w:pPr>
        <w:pStyle w:val="BodyText"/>
        <w:spacing w:before="123"/>
        <w:ind w:left="620" w:right="275"/>
        <w:jc w:val="both"/>
      </w:pPr>
      <w:r>
        <w:rPr/>
        <w:t>QAI supports the direction of the proposed amendments to the GAA, the POA and the PGA</w:t>
      </w:r>
      <w:r>
        <w:rPr>
          <w:spacing w:val="1"/>
        </w:rPr>
        <w:t> </w:t>
      </w:r>
      <w:r>
        <w:rPr/>
        <w:t>and applauds the Department for taking steps towards greater compliance with the CRPD.</w:t>
      </w:r>
      <w:r>
        <w:rPr>
          <w:spacing w:val="1"/>
        </w:rPr>
        <w:t> </w:t>
      </w:r>
      <w:r>
        <w:rPr/>
        <w:t>QAI is pleased to see that the QLRC recommendations have been considered and are</w:t>
      </w:r>
      <w:r>
        <w:rPr>
          <w:spacing w:val="1"/>
        </w:rPr>
        <w:t> </w:t>
      </w:r>
      <w:r>
        <w:rPr/>
        <w:t>reflected</w:t>
      </w:r>
      <w:r>
        <w:rPr>
          <w:spacing w:val="-1"/>
        </w:rPr>
        <w:t> </w:t>
      </w:r>
      <w:r>
        <w:rPr/>
        <w:t>in</w:t>
      </w:r>
      <w:r>
        <w:rPr>
          <w:spacing w:val="4"/>
        </w:rPr>
        <w:t> </w:t>
      </w:r>
      <w:r>
        <w:rPr/>
        <w:t>the</w:t>
      </w:r>
      <w:r>
        <w:rPr>
          <w:spacing w:val="2"/>
        </w:rPr>
        <w:t> </w:t>
      </w:r>
      <w:r>
        <w:rPr/>
        <w:t>draft</w:t>
      </w:r>
      <w:r>
        <w:rPr>
          <w:spacing w:val="-3"/>
        </w:rPr>
        <w:t> </w:t>
      </w:r>
      <w:r>
        <w:rPr/>
        <w:t>bill.</w:t>
      </w:r>
    </w:p>
    <w:p>
      <w:pPr>
        <w:pStyle w:val="BodyText"/>
        <w:spacing w:before="121"/>
        <w:ind w:left="620" w:right="289"/>
        <w:jc w:val="both"/>
      </w:pPr>
      <w:r>
        <w:rPr/>
        <w:t>QAI thanks the Department for the opportunity to have input into the proposed legislative</w:t>
      </w:r>
      <w:r>
        <w:rPr>
          <w:spacing w:val="1"/>
        </w:rPr>
        <w:t> </w:t>
      </w:r>
      <w:r>
        <w:rPr/>
        <w:t>amendments.</w:t>
      </w:r>
      <w:r>
        <w:rPr>
          <w:spacing w:val="54"/>
        </w:rPr>
        <w:t> </w:t>
      </w:r>
      <w:r>
        <w:rPr/>
        <w:t>We</w:t>
      </w:r>
      <w:r>
        <w:rPr>
          <w:spacing w:val="-1"/>
        </w:rPr>
        <w:t> </w:t>
      </w:r>
      <w:r>
        <w:rPr/>
        <w:t>look forward to</w:t>
      </w:r>
      <w:r>
        <w:rPr>
          <w:spacing w:val="-1"/>
        </w:rPr>
        <w:t> </w:t>
      </w:r>
      <w:r>
        <w:rPr/>
        <w:t>working with</w:t>
      </w:r>
      <w:r>
        <w:rPr>
          <w:spacing w:val="2"/>
        </w:rPr>
        <w:t> </w:t>
      </w:r>
      <w:r>
        <w:rPr/>
        <w:t>you further.</w:t>
      </w:r>
    </w:p>
    <w:sectPr>
      <w:pgSz w:w="11910" w:h="16840"/>
      <w:pgMar w:header="0" w:footer="1907" w:top="1080" w:bottom="2120" w:left="820" w:right="11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Wingdings">
    <w:altName w:val="Wingdings"/>
    <w:charset w:val="2"/>
    <w:family w:val="auto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19"/>
      </w:rPr>
    </w:pPr>
    <w:r>
      <w:rPr/>
      <w:pict>
        <v:shape style="position:absolute;margin-left:291.899994pt;margin-top:733.924988pt;width:12.6pt;height:13pt;mso-position-horizontal-relative:page;mso-position-vertical-relative:page;z-index:-15847424" type="#_x0000_t202" id="docshape14" filled="false" stroked="false">
          <v:textbox inset="0,0,0,0">
            <w:txbxContent>
              <w:p>
                <w:pPr>
                  <w:pStyle w:val="BodyText"/>
                  <w:spacing w:line="244" w:lineRule="exact"/>
                  <w:ind w:left="60"/>
                  <w:rPr>
                    <w:rFonts w:ascii="Calibri"/>
                  </w:rPr>
                </w:pPr>
                <w:r>
                  <w:rPr/>
                  <w:fldChar w:fldCharType="begin"/>
                </w:r>
                <w:r>
                  <w:rPr>
                    <w:rFonts w:ascii="Calibri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4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."/>
      <w:lvlJc w:val="left"/>
      <w:pPr>
        <w:ind w:left="1340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2"/>
        <w:szCs w:val="22"/>
        <w:lang w:val="en-au" w:eastAsia="en-US" w:bidi="ar-SA"/>
      </w:rPr>
    </w:lvl>
    <w:lvl w:ilvl="1">
      <w:start w:val="1"/>
      <w:numFmt w:val="lowerLetter"/>
      <w:lvlText w:val="%2."/>
      <w:lvlJc w:val="left"/>
      <w:pPr>
        <w:ind w:left="1701" w:hanging="361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2"/>
        <w:szCs w:val="22"/>
        <w:lang w:val="en-au" w:eastAsia="en-US" w:bidi="ar-SA"/>
      </w:rPr>
    </w:lvl>
    <w:lvl w:ilvl="2">
      <w:start w:val="0"/>
      <w:numFmt w:val="bullet"/>
      <w:lvlText w:val="•"/>
      <w:lvlJc w:val="left"/>
      <w:pPr>
        <w:ind w:left="2614" w:hanging="361"/>
      </w:pPr>
      <w:rPr>
        <w:rFonts w:hint="default"/>
        <w:lang w:val="en-au" w:eastAsia="en-US" w:bidi="ar-SA"/>
      </w:rPr>
    </w:lvl>
    <w:lvl w:ilvl="3">
      <w:start w:val="0"/>
      <w:numFmt w:val="bullet"/>
      <w:lvlText w:val="•"/>
      <w:lvlJc w:val="left"/>
      <w:pPr>
        <w:ind w:left="3528" w:hanging="361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4442" w:hanging="361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5356" w:hanging="361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271" w:hanging="361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185" w:hanging="361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8099" w:hanging="361"/>
      </w:pPr>
      <w:rPr>
        <w:rFonts w:hint="default"/>
        <w:lang w:val="en-au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"/>
      <w:lvlJc w:val="left"/>
      <w:pPr>
        <w:ind w:left="1340" w:hanging="360"/>
      </w:pPr>
      <w:rPr>
        <w:rFonts w:hint="default" w:ascii="Wingdings" w:hAnsi="Wingdings" w:eastAsia="Wingdings" w:cs="Wingdings"/>
        <w:b w:val="0"/>
        <w:bCs w:val="0"/>
        <w:i w:val="0"/>
        <w:iCs w:val="0"/>
        <w:w w:val="100"/>
        <w:sz w:val="22"/>
        <w:szCs w:val="22"/>
        <w:lang w:val="en-au" w:eastAsia="en-US" w:bidi="ar-SA"/>
      </w:rPr>
    </w:lvl>
    <w:lvl w:ilvl="1">
      <w:start w:val="0"/>
      <w:numFmt w:val="bullet"/>
      <w:lvlText w:val="•"/>
      <w:lvlJc w:val="left"/>
      <w:pPr>
        <w:ind w:left="2198" w:hanging="360"/>
      </w:pPr>
      <w:rPr>
        <w:rFonts w:hint="default"/>
        <w:lang w:val="en-au" w:eastAsia="en-US" w:bidi="ar-SA"/>
      </w:rPr>
    </w:lvl>
    <w:lvl w:ilvl="2">
      <w:start w:val="0"/>
      <w:numFmt w:val="bullet"/>
      <w:lvlText w:val="•"/>
      <w:lvlJc w:val="left"/>
      <w:pPr>
        <w:ind w:left="3057" w:hanging="360"/>
      </w:pPr>
      <w:rPr>
        <w:rFonts w:hint="default"/>
        <w:lang w:val="en-au" w:eastAsia="en-US" w:bidi="ar-SA"/>
      </w:rPr>
    </w:lvl>
    <w:lvl w:ilvl="3">
      <w:start w:val="0"/>
      <w:numFmt w:val="bullet"/>
      <w:lvlText w:val="•"/>
      <w:lvlJc w:val="left"/>
      <w:pPr>
        <w:ind w:left="3916" w:hanging="360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4775" w:hanging="360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5634" w:hanging="360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492" w:hanging="360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351" w:hanging="360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8210" w:hanging="360"/>
      </w:pPr>
      <w:rPr>
        <w:rFonts w:hint="default"/>
        <w:lang w:val="en-au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au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2"/>
      <w:szCs w:val="22"/>
      <w:lang w:val="en-au" w:eastAsia="en-US" w:bidi="ar-SA"/>
    </w:rPr>
  </w:style>
  <w:style w:styleId="Heading1" w:type="paragraph">
    <w:name w:val="Heading 1"/>
    <w:basedOn w:val="Normal"/>
    <w:uiPriority w:val="1"/>
    <w:qFormat/>
    <w:pPr>
      <w:outlineLvl w:val="1"/>
    </w:pPr>
    <w:rPr>
      <w:rFonts w:ascii="Arial" w:hAnsi="Arial" w:eastAsia="Arial" w:cs="Arial"/>
      <w:b/>
      <w:bCs/>
      <w:sz w:val="40"/>
      <w:szCs w:val="40"/>
      <w:lang w:val="en-au" w:eastAsia="en-US" w:bidi="ar-SA"/>
    </w:rPr>
  </w:style>
  <w:style w:styleId="Heading2" w:type="paragraph">
    <w:name w:val="Heading 2"/>
    <w:basedOn w:val="Normal"/>
    <w:uiPriority w:val="1"/>
    <w:qFormat/>
    <w:pPr>
      <w:spacing w:before="62"/>
      <w:ind w:left="620"/>
      <w:jc w:val="both"/>
      <w:outlineLvl w:val="2"/>
    </w:pPr>
    <w:rPr>
      <w:rFonts w:ascii="Arial" w:hAnsi="Arial" w:eastAsia="Arial" w:cs="Arial"/>
      <w:b/>
      <w:bCs/>
      <w:sz w:val="28"/>
      <w:szCs w:val="28"/>
      <w:lang w:val="en-au" w:eastAsia="en-US" w:bidi="ar-SA"/>
    </w:rPr>
  </w:style>
  <w:style w:styleId="Heading3" w:type="paragraph">
    <w:name w:val="Heading 3"/>
    <w:basedOn w:val="Normal"/>
    <w:uiPriority w:val="1"/>
    <w:qFormat/>
    <w:pPr>
      <w:spacing w:before="119"/>
      <w:ind w:left="620"/>
      <w:jc w:val="both"/>
      <w:outlineLvl w:val="3"/>
    </w:pPr>
    <w:rPr>
      <w:rFonts w:ascii="Arial" w:hAnsi="Arial" w:eastAsia="Arial" w:cs="Arial"/>
      <w:b/>
      <w:bCs/>
      <w:sz w:val="22"/>
      <w:szCs w:val="22"/>
      <w:lang w:val="en-au" w:eastAsia="en-US" w:bidi="ar-SA"/>
    </w:rPr>
  </w:style>
  <w:style w:styleId="Title" w:type="paragraph">
    <w:name w:val="Title"/>
    <w:basedOn w:val="Normal"/>
    <w:uiPriority w:val="1"/>
    <w:qFormat/>
    <w:pPr>
      <w:spacing w:before="263"/>
      <w:ind w:left="668" w:right="326" w:hanging="6"/>
      <w:jc w:val="center"/>
    </w:pPr>
    <w:rPr>
      <w:rFonts w:ascii="Arial" w:hAnsi="Arial" w:eastAsia="Arial" w:cs="Arial"/>
      <w:b/>
      <w:bCs/>
      <w:sz w:val="48"/>
      <w:szCs w:val="48"/>
      <w:lang w:val="en-au" w:eastAsia="en-US" w:bidi="ar-SA"/>
    </w:rPr>
  </w:style>
  <w:style w:styleId="ListParagraph" w:type="paragraph">
    <w:name w:val="List Paragraph"/>
    <w:basedOn w:val="Normal"/>
    <w:uiPriority w:val="1"/>
    <w:qFormat/>
    <w:pPr>
      <w:spacing w:before="119"/>
      <w:ind w:left="1340" w:hanging="360"/>
      <w:jc w:val="both"/>
    </w:pPr>
    <w:rPr>
      <w:rFonts w:ascii="Arial" w:hAnsi="Arial" w:eastAsia="Arial" w:cs="Arial"/>
      <w:lang w:val="en-a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a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mailto:qai@qai.org.au" TargetMode="External"/><Relationship Id="rId7" Type="http://schemas.openxmlformats.org/officeDocument/2006/relationships/hyperlink" Target="http://www.qai.org.au/" TargetMode="External"/><Relationship Id="rId8" Type="http://schemas.openxmlformats.org/officeDocument/2006/relationships/footer" Target="footer1.xml"/><Relationship Id="rId9" Type="http://schemas.openxmlformats.org/officeDocument/2006/relationships/hyperlink" Target="http://www.smh.com.au/nsw/mother-branded-mentally-ill-after-complaint-20100929-15xij.html" TargetMode="External"/><Relationship Id="rId10" Type="http://schemas.openxmlformats.org/officeDocument/2006/relationships/hyperlink" Target="http://cru.org.au/wp-content/uploads/2014/04/4.-The-Natural-Authority-of-Families-MKendrick-CT45.pdf" TargetMode="External"/><Relationship Id="rId11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rebekah.leong</dc:creator>
  <dcterms:created xsi:type="dcterms:W3CDTF">2021-12-21T04:33:43Z</dcterms:created>
  <dcterms:modified xsi:type="dcterms:W3CDTF">2021-12-21T04:33:43Z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2017-02-06T00:00:00Z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2021-12-21T00:00:00Z</vt:filetime>
  </property>
</Properties>
</file>