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47037" w14:textId="444B6ECC" w:rsidR="006017AE" w:rsidRDefault="006017AE" w:rsidP="00477AFA">
      <w:r w:rsidRPr="00926D59">
        <w:rPr>
          <w:noProof/>
          <w:lang w:eastAsia="en-AU"/>
        </w:rPr>
        <mc:AlternateContent>
          <mc:Choice Requires="wps">
            <w:drawing>
              <wp:anchor distT="0" distB="0" distL="114300" distR="114300" simplePos="0" relativeHeight="251662336" behindDoc="0" locked="1" layoutInCell="1" allowOverlap="1" wp14:anchorId="1CE66F83" wp14:editId="4A78BDCF">
                <wp:simplePos x="0" y="0"/>
                <wp:positionH relativeFrom="page">
                  <wp:posOffset>554990</wp:posOffset>
                </wp:positionH>
                <wp:positionV relativeFrom="page">
                  <wp:posOffset>4958080</wp:posOffset>
                </wp:positionV>
                <wp:extent cx="4675505" cy="4717415"/>
                <wp:effectExtent l="0" t="0" r="10795" b="698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5505" cy="4717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FE5522" w14:textId="77777777" w:rsidR="006017AE" w:rsidRPr="002015C2" w:rsidRDefault="006017AE" w:rsidP="006017AE">
                            <w:pPr>
                              <w:pStyle w:val="EYCoverTitle"/>
                              <w:rPr>
                                <w:rFonts w:ascii="Roboto Medium" w:hAnsi="Roboto Medium"/>
                                <w:b/>
                                <w:bCs/>
                                <w:color w:val="FFFFFF" w:themeColor="background1"/>
                                <w:sz w:val="44"/>
                                <w:szCs w:val="44"/>
                              </w:rPr>
                            </w:pPr>
                            <w:r w:rsidRPr="002015C2">
                              <w:rPr>
                                <w:rFonts w:ascii="Roboto Medium" w:hAnsi="Roboto Medium"/>
                                <w:b/>
                                <w:bCs/>
                                <w:color w:val="FFFFFF" w:themeColor="background1"/>
                                <w:sz w:val="44"/>
                                <w:szCs w:val="44"/>
                              </w:rPr>
                              <w:t xml:space="preserve">A Right to Learn </w:t>
                            </w:r>
                            <w:proofErr w:type="gramStart"/>
                            <w:r w:rsidRPr="002015C2">
                              <w:rPr>
                                <w:rFonts w:ascii="Roboto Medium" w:hAnsi="Roboto Medium"/>
                                <w:b/>
                                <w:bCs/>
                                <w:color w:val="FFFFFF" w:themeColor="background1"/>
                                <w:sz w:val="44"/>
                                <w:szCs w:val="44"/>
                              </w:rPr>
                              <w:t>-  Economic</w:t>
                            </w:r>
                            <w:proofErr w:type="gramEnd"/>
                            <w:r w:rsidRPr="002015C2">
                              <w:rPr>
                                <w:rFonts w:ascii="Roboto Medium" w:hAnsi="Roboto Medium"/>
                                <w:b/>
                                <w:bCs/>
                                <w:color w:val="FFFFFF" w:themeColor="background1"/>
                                <w:sz w:val="44"/>
                                <w:szCs w:val="44"/>
                              </w:rPr>
                              <w:t xml:space="preserve"> cost of suspensions for Queensland students with disability</w:t>
                            </w:r>
                          </w:p>
                          <w:p w14:paraId="5814CE05" w14:textId="77777777" w:rsidR="006017AE" w:rsidRPr="002015C2" w:rsidRDefault="006017AE" w:rsidP="006017AE">
                            <w:pPr>
                              <w:pStyle w:val="EYCoverSubTitle"/>
                              <w:rPr>
                                <w:rFonts w:ascii="Roboto Medium" w:hAnsi="Roboto Medium"/>
                                <w:color w:val="FFFFFF" w:themeColor="background1"/>
                              </w:rPr>
                            </w:pPr>
                            <w:r w:rsidRPr="002015C2">
                              <w:rPr>
                                <w:rFonts w:ascii="Roboto Medium" w:hAnsi="Roboto Medium"/>
                                <w:color w:val="FFFFFF" w:themeColor="background1"/>
                              </w:rPr>
                              <w:t>Queensland Advocacy for Inclusion</w:t>
                            </w:r>
                          </w:p>
                          <w:p w14:paraId="31307966" w14:textId="77777777" w:rsidR="006017AE" w:rsidRPr="002015C2" w:rsidRDefault="006017AE" w:rsidP="006017AE">
                            <w:pPr>
                              <w:pStyle w:val="EYCoverSubTitle"/>
                              <w:rPr>
                                <w:rFonts w:ascii="Roboto Medium" w:hAnsi="Roboto Medium"/>
                                <w:color w:val="FFFFFF" w:themeColor="background1"/>
                              </w:rPr>
                            </w:pPr>
                            <w:r w:rsidRPr="002015C2">
                              <w:rPr>
                                <w:rFonts w:ascii="Roboto Medium" w:hAnsi="Roboto Medium"/>
                                <w:color w:val="FFFFFF" w:themeColor="background1"/>
                              </w:rPr>
                              <w:t>Further information on methodology and approach, assumptions and limitations and references</w:t>
                            </w:r>
                          </w:p>
                          <w:p w14:paraId="4D650591" w14:textId="77777777" w:rsidR="006017AE" w:rsidRPr="002015C2" w:rsidRDefault="006017AE" w:rsidP="006017AE">
                            <w:pPr>
                              <w:rPr>
                                <w:rFonts w:ascii="Roboto Medium" w:hAnsi="Roboto Medium"/>
                              </w:rPr>
                            </w:pPr>
                          </w:p>
                          <w:p w14:paraId="3793643E" w14:textId="77777777" w:rsidR="006017AE" w:rsidRPr="002015C2" w:rsidRDefault="006017AE" w:rsidP="006017AE">
                            <w:pPr>
                              <w:rPr>
                                <w:rFonts w:ascii="Roboto Medium" w:hAnsi="Roboto Medium"/>
                              </w:rPr>
                            </w:pPr>
                          </w:p>
                          <w:p w14:paraId="2C796CD3" w14:textId="77777777" w:rsidR="006017AE" w:rsidRPr="002015C2" w:rsidRDefault="006017AE" w:rsidP="006017AE">
                            <w:pPr>
                              <w:rPr>
                                <w:rFonts w:ascii="Roboto Medium" w:hAnsi="Roboto Medium"/>
                              </w:rPr>
                            </w:pPr>
                          </w:p>
                          <w:p w14:paraId="26D270AE" w14:textId="77777777" w:rsidR="00B12E6D" w:rsidRDefault="00B12E6D" w:rsidP="006017AE">
                            <w:pPr>
                              <w:tabs>
                                <w:tab w:val="left" w:pos="1330"/>
                              </w:tabs>
                              <w:rPr>
                                <w:rFonts w:ascii="Roboto Medium" w:hAnsi="Roboto Medium"/>
                                <w:b/>
                                <w:bCs/>
                                <w:color w:val="FFFFFF" w:themeColor="background1"/>
                                <w:sz w:val="32"/>
                                <w:szCs w:val="32"/>
                              </w:rPr>
                            </w:pPr>
                          </w:p>
                          <w:p w14:paraId="27450DA8" w14:textId="77777777" w:rsidR="00B12E6D" w:rsidRDefault="00B12E6D" w:rsidP="006017AE">
                            <w:pPr>
                              <w:tabs>
                                <w:tab w:val="left" w:pos="1330"/>
                              </w:tabs>
                              <w:rPr>
                                <w:rFonts w:ascii="Roboto Medium" w:hAnsi="Roboto Medium"/>
                                <w:b/>
                                <w:bCs/>
                                <w:color w:val="FFFFFF" w:themeColor="background1"/>
                                <w:sz w:val="32"/>
                                <w:szCs w:val="32"/>
                              </w:rPr>
                            </w:pPr>
                          </w:p>
                          <w:p w14:paraId="2F53FE31" w14:textId="72399CE6" w:rsidR="006017AE" w:rsidRPr="002015C2" w:rsidRDefault="00557C6D" w:rsidP="006017AE">
                            <w:pPr>
                              <w:tabs>
                                <w:tab w:val="left" w:pos="1330"/>
                              </w:tabs>
                              <w:rPr>
                                <w:rFonts w:ascii="Roboto Medium" w:hAnsi="Roboto Medium"/>
                                <w:color w:val="FFFFFF" w:themeColor="background1"/>
                              </w:rPr>
                            </w:pPr>
                            <w:r>
                              <w:rPr>
                                <w:rFonts w:ascii="Roboto Medium" w:hAnsi="Roboto Medium"/>
                                <w:b/>
                                <w:bCs/>
                                <w:color w:val="FFFFFF" w:themeColor="background1"/>
                                <w:sz w:val="32"/>
                                <w:szCs w:val="32"/>
                              </w:rPr>
                              <w:t>30 April 2024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E66F83" id="_x0000_t202" coordsize="21600,21600" o:spt="202" path="m,l,21600r21600,l21600,xe">
                <v:stroke joinstyle="miter"/>
                <v:path gradientshapeok="t" o:connecttype="rect"/>
              </v:shapetype>
              <v:shape id="Text Box 3" o:spid="_x0000_s1026" type="#_x0000_t202" style="position:absolute;margin-left:43.7pt;margin-top:390.4pt;width:368.15pt;height:371.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" filled="f" stroked="f">
                <v:textbox inset="0,0,0,0">
                  <w:txbxContent>
                    <w:p w14:paraId="20FE5522" w14:textId="77777777" w:rsidR="006017AE" w:rsidRPr="002015C2" w:rsidRDefault="006017AE" w:rsidP="006017AE">
                      <w:pPr>
                        <w:pStyle w:val="EYCoverTitle"/>
                        <w:rPr>
                          <w:rFonts w:ascii="Roboto Medium" w:hAnsi="Roboto Medium"/>
                          <w:b/>
                          <w:bCs/>
                          <w:color w:val="FFFFFF" w:themeColor="background1"/>
                          <w:sz w:val="44"/>
                          <w:szCs w:val="44"/>
                        </w:rPr>
                      </w:pPr>
                      <w:r w:rsidRPr="002015C2">
                        <w:rPr>
                          <w:rFonts w:ascii="Roboto Medium" w:hAnsi="Roboto Medium"/>
                          <w:b/>
                          <w:bCs/>
                          <w:color w:val="FFFFFF" w:themeColor="background1"/>
                          <w:sz w:val="44"/>
                          <w:szCs w:val="44"/>
                        </w:rPr>
                        <w:t xml:space="preserve">A Right to Learn </w:t>
                      </w:r>
                      <w:proofErr w:type="gramStart"/>
                      <w:r w:rsidRPr="002015C2">
                        <w:rPr>
                          <w:rFonts w:ascii="Roboto Medium" w:hAnsi="Roboto Medium"/>
                          <w:b/>
                          <w:bCs/>
                          <w:color w:val="FFFFFF" w:themeColor="background1"/>
                          <w:sz w:val="44"/>
                          <w:szCs w:val="44"/>
                        </w:rPr>
                        <w:t>-  Economic</w:t>
                      </w:r>
                      <w:proofErr w:type="gramEnd"/>
                      <w:r w:rsidRPr="002015C2">
                        <w:rPr>
                          <w:rFonts w:ascii="Roboto Medium" w:hAnsi="Roboto Medium"/>
                          <w:b/>
                          <w:bCs/>
                          <w:color w:val="FFFFFF" w:themeColor="background1"/>
                          <w:sz w:val="44"/>
                          <w:szCs w:val="44"/>
                        </w:rPr>
                        <w:t xml:space="preserve"> cost of suspensions for Queensland students with disability</w:t>
                      </w:r>
                    </w:p>
                    <w:p w14:paraId="5814CE05" w14:textId="77777777" w:rsidR="006017AE" w:rsidRPr="002015C2" w:rsidRDefault="006017AE" w:rsidP="006017AE">
                      <w:pPr>
                        <w:pStyle w:val="EYCoverSubTitle"/>
                        <w:rPr>
                          <w:rFonts w:ascii="Roboto Medium" w:hAnsi="Roboto Medium"/>
                          <w:color w:val="FFFFFF" w:themeColor="background1"/>
                        </w:rPr>
                      </w:pPr>
                      <w:r w:rsidRPr="002015C2">
                        <w:rPr>
                          <w:rFonts w:ascii="Roboto Medium" w:hAnsi="Roboto Medium"/>
                          <w:color w:val="FFFFFF" w:themeColor="background1"/>
                        </w:rPr>
                        <w:t>Queensland Advocacy for Inclusion</w:t>
                      </w:r>
                    </w:p>
                    <w:p w14:paraId="31307966" w14:textId="77777777" w:rsidR="006017AE" w:rsidRPr="002015C2" w:rsidRDefault="006017AE" w:rsidP="006017AE">
                      <w:pPr>
                        <w:pStyle w:val="EYCoverSubTitle"/>
                        <w:rPr>
                          <w:rFonts w:ascii="Roboto Medium" w:hAnsi="Roboto Medium"/>
                          <w:color w:val="FFFFFF" w:themeColor="background1"/>
                        </w:rPr>
                      </w:pPr>
                      <w:r w:rsidRPr="002015C2">
                        <w:rPr>
                          <w:rFonts w:ascii="Roboto Medium" w:hAnsi="Roboto Medium"/>
                          <w:color w:val="FFFFFF" w:themeColor="background1"/>
                        </w:rPr>
                        <w:t>Further information on methodology and approach, assumptions and limitations and references</w:t>
                      </w:r>
                    </w:p>
                    <w:p w14:paraId="4D650591" w14:textId="77777777" w:rsidR="006017AE" w:rsidRPr="002015C2" w:rsidRDefault="006017AE" w:rsidP="006017AE">
                      <w:pPr>
                        <w:rPr>
                          <w:rFonts w:ascii="Roboto Medium" w:hAnsi="Roboto Medium"/>
                        </w:rPr>
                      </w:pPr>
                    </w:p>
                    <w:p w14:paraId="3793643E" w14:textId="77777777" w:rsidR="006017AE" w:rsidRPr="002015C2" w:rsidRDefault="006017AE" w:rsidP="006017AE">
                      <w:pPr>
                        <w:rPr>
                          <w:rFonts w:ascii="Roboto Medium" w:hAnsi="Roboto Medium"/>
                        </w:rPr>
                      </w:pPr>
                    </w:p>
                    <w:p w14:paraId="2C796CD3" w14:textId="77777777" w:rsidR="006017AE" w:rsidRPr="002015C2" w:rsidRDefault="006017AE" w:rsidP="006017AE">
                      <w:pPr>
                        <w:rPr>
                          <w:rFonts w:ascii="Roboto Medium" w:hAnsi="Roboto Medium"/>
                        </w:rPr>
                      </w:pPr>
                    </w:p>
                    <w:p w14:paraId="26D270AE" w14:textId="77777777" w:rsidR="00B12E6D" w:rsidRDefault="00B12E6D" w:rsidP="006017AE">
                      <w:pPr>
                        <w:tabs>
                          <w:tab w:val="left" w:pos="1330"/>
                        </w:tabs>
                        <w:rPr>
                          <w:rFonts w:ascii="Roboto Medium" w:hAnsi="Roboto Medium"/>
                          <w:b/>
                          <w:bCs/>
                          <w:color w:val="FFFFFF" w:themeColor="background1"/>
                          <w:sz w:val="32"/>
                          <w:szCs w:val="32"/>
                        </w:rPr>
                      </w:pPr>
                    </w:p>
                    <w:p w14:paraId="27450DA8" w14:textId="77777777" w:rsidR="00B12E6D" w:rsidRDefault="00B12E6D" w:rsidP="006017AE">
                      <w:pPr>
                        <w:tabs>
                          <w:tab w:val="left" w:pos="1330"/>
                        </w:tabs>
                        <w:rPr>
                          <w:rFonts w:ascii="Roboto Medium" w:hAnsi="Roboto Medium"/>
                          <w:b/>
                          <w:bCs/>
                          <w:color w:val="FFFFFF" w:themeColor="background1"/>
                          <w:sz w:val="32"/>
                          <w:szCs w:val="32"/>
                        </w:rPr>
                      </w:pPr>
                    </w:p>
                    <w:p w14:paraId="2F53FE31" w14:textId="72399CE6" w:rsidR="006017AE" w:rsidRPr="002015C2" w:rsidRDefault="00557C6D" w:rsidP="006017AE">
                      <w:pPr>
                        <w:tabs>
                          <w:tab w:val="left" w:pos="1330"/>
                        </w:tabs>
                        <w:rPr>
                          <w:rFonts w:ascii="Roboto Medium" w:hAnsi="Roboto Medium"/>
                          <w:color w:val="FFFFFF" w:themeColor="background1"/>
                        </w:rPr>
                      </w:pPr>
                      <w:r>
                        <w:rPr>
                          <w:rFonts w:ascii="Roboto Medium" w:hAnsi="Roboto Medium"/>
                          <w:b/>
                          <w:bCs/>
                          <w:color w:val="FFFFFF" w:themeColor="background1"/>
                          <w:sz w:val="32"/>
                          <w:szCs w:val="32"/>
                        </w:rPr>
                        <w:t>30 April 2024</w:t>
                      </w:r>
                    </w:p>
                  </w:txbxContent>
                </v:textbox>
                <w10:wrap anchorx="page" anchory="page"/>
                <w10:anchorlock/>
              </v:shape>
            </w:pict>
          </mc:Fallback>
        </mc:AlternateContent>
      </w:r>
      <w:r>
        <w:rPr>
          <w:noProof/>
        </w:rPr>
        <w:drawing>
          <wp:anchor distT="0" distB="0" distL="114300" distR="114300" simplePos="0" relativeHeight="251660288" behindDoc="1" locked="0" layoutInCell="1" allowOverlap="1" wp14:anchorId="449D7568" wp14:editId="6191125C">
            <wp:simplePos x="0" y="0"/>
            <wp:positionH relativeFrom="page">
              <wp:posOffset>8678</wp:posOffset>
            </wp:positionH>
            <wp:positionV relativeFrom="page">
              <wp:posOffset>764540</wp:posOffset>
            </wp:positionV>
            <wp:extent cx="7552690" cy="8916670"/>
            <wp:effectExtent l="0" t="0" r="0" b="0"/>
            <wp:wrapNone/>
            <wp:docPr id="1665995691" name="Picture 1" descr="A blue and purpl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995691" name="Picture 1" descr="A blue and purple rectangle&#10;&#10;Description automatically generated"/>
                    <pic:cNvPicPr/>
                  </pic:nvPicPr>
                  <pic:blipFill rotWithShape="1">
                    <a:blip r:embed="rId11"/>
                    <a:srcRect t="-1" b="25682"/>
                    <a:stretch/>
                  </pic:blipFill>
                  <pic:spPr bwMode="auto">
                    <a:xfrm>
                      <a:off x="0" y="0"/>
                      <a:ext cx="7552690" cy="89166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44BD6B0" w14:textId="6EDB505E" w:rsidR="006017AE" w:rsidRDefault="006017AE">
      <w:pPr>
        <w:autoSpaceDE/>
        <w:autoSpaceDN/>
        <w:adjustRightInd/>
      </w:pPr>
      <w:r>
        <w:br w:type="page"/>
      </w:r>
    </w:p>
    <w:p w14:paraId="1C781A05" w14:textId="77777777" w:rsidR="006017AE" w:rsidRPr="006A52D5" w:rsidRDefault="006017AE" w:rsidP="006017AE">
      <w:pPr>
        <w:pStyle w:val="QAIHeading2"/>
      </w:pPr>
      <w:bookmarkStart w:id="0" w:name="_Toc130476827"/>
      <w:r w:rsidRPr="006A52D5">
        <w:lastRenderedPageBreak/>
        <w:t>About Queensland Advocacy for Inclusion</w:t>
      </w:r>
      <w:bookmarkEnd w:id="0"/>
    </w:p>
    <w:p w14:paraId="468B03DD" w14:textId="77777777" w:rsidR="006017AE" w:rsidRDefault="006017AE" w:rsidP="006017AE">
      <w:pPr>
        <w:pStyle w:val="NormalWeb"/>
        <w:spacing w:before="240" w:beforeAutospacing="0" w:after="120" w:afterAutospacing="0" w:line="360" w:lineRule="auto"/>
        <w:rPr>
          <w:rFonts w:ascii="Source Sans Pro" w:hAnsi="Source Sans Pro" w:cs="Calibri"/>
        </w:rPr>
      </w:pPr>
      <w:bookmarkStart w:id="1" w:name="OLE_LINK2"/>
      <w:r w:rsidRPr="0010281C">
        <w:rPr>
          <w:rFonts w:ascii="Source Sans Pro" w:hAnsi="Source Sans Pro" w:cs="Calibri"/>
        </w:rPr>
        <w:t>Queensland Advocacy for Inclusion (</w:t>
      </w:r>
      <w:r w:rsidRPr="009E633A">
        <w:rPr>
          <w:rFonts w:ascii="Source Sans Pro" w:hAnsi="Source Sans Pro" w:cs="Calibri"/>
        </w:rPr>
        <w:t>QAI</w:t>
      </w:r>
      <w:r w:rsidRPr="0010281C">
        <w:rPr>
          <w:rFonts w:ascii="Source Sans Pro" w:hAnsi="Source Sans Pro" w:cs="Calibri"/>
        </w:rPr>
        <w:t xml:space="preserve">) is an independent, community-based advocacy organisation and community legal service that provides individual and systems advocacy for people with disability. Our purpose is to advocate for the protection and advancement of the needs, rights, and lives of people with disability in Queensland. QAI’s Management Committee is comprised of </w:t>
      </w:r>
      <w:proofErr w:type="gramStart"/>
      <w:r w:rsidRPr="0010281C">
        <w:rPr>
          <w:rFonts w:ascii="Source Sans Pro" w:hAnsi="Source Sans Pro" w:cs="Calibri"/>
        </w:rPr>
        <w:t>a majority of</w:t>
      </w:r>
      <w:proofErr w:type="gramEnd"/>
      <w:r w:rsidRPr="0010281C">
        <w:rPr>
          <w:rFonts w:ascii="Source Sans Pro" w:hAnsi="Source Sans Pro" w:cs="Calibri"/>
        </w:rPr>
        <w:t xml:space="preserve"> persons with disability, whose wisdom and lived experience guides our work and values.</w:t>
      </w:r>
    </w:p>
    <w:p w14:paraId="5E200B27" w14:textId="77777777" w:rsidR="006017AE" w:rsidRDefault="006017AE" w:rsidP="006017AE">
      <w:pPr>
        <w:pStyle w:val="NormalWeb"/>
        <w:spacing w:before="240" w:beforeAutospacing="0" w:after="120" w:afterAutospacing="0" w:line="360" w:lineRule="auto"/>
        <w:rPr>
          <w:rFonts w:ascii="Source Sans Pro" w:hAnsi="Source Sans Pro" w:cs="Calibri"/>
        </w:rPr>
      </w:pPr>
      <w:r w:rsidRPr="0010281C">
        <w:rPr>
          <w:rFonts w:ascii="Source Sans Pro" w:hAnsi="Source Sans Pro" w:cs="Calibri"/>
        </w:rPr>
        <w:t>QAI has</w:t>
      </w:r>
      <w:r w:rsidRPr="0010281C">
        <w:rPr>
          <w:rFonts w:ascii="Source Sans Pro" w:hAnsi="Source Sans Pro" w:cs="Arial"/>
        </w:rPr>
        <w:t> </w:t>
      </w:r>
      <w:r w:rsidRPr="0010281C">
        <w:rPr>
          <w:rFonts w:ascii="Source Sans Pro" w:hAnsi="Source Sans Pro" w:cs="Calibri"/>
        </w:rPr>
        <w:t>been engaged in systems advocacy for over thirty years,</w:t>
      </w:r>
      <w:r w:rsidRPr="0010281C">
        <w:rPr>
          <w:rFonts w:ascii="Source Sans Pro" w:hAnsi="Source Sans Pro" w:cs="Arial"/>
        </w:rPr>
        <w:t> </w:t>
      </w:r>
      <w:r w:rsidRPr="0010281C">
        <w:rPr>
          <w:rFonts w:ascii="Source Sans Pro" w:hAnsi="Source Sans Pro" w:cs="Calibri"/>
        </w:rPr>
        <w:t>advocating for change through campaigns directed</w:t>
      </w:r>
      <w:r w:rsidRPr="0010281C">
        <w:rPr>
          <w:rFonts w:ascii="Source Sans Pro" w:hAnsi="Source Sans Pro" w:cs="Arial"/>
        </w:rPr>
        <w:t> </w:t>
      </w:r>
      <w:r w:rsidRPr="0010281C">
        <w:rPr>
          <w:rFonts w:ascii="Source Sans Pro" w:hAnsi="Source Sans Pro" w:cs="Calibri"/>
        </w:rPr>
        <w:t>at</w:t>
      </w:r>
      <w:r w:rsidRPr="0010281C">
        <w:rPr>
          <w:rFonts w:ascii="Source Sans Pro" w:hAnsi="Source Sans Pro" w:cs="Arial"/>
        </w:rPr>
        <w:t> </w:t>
      </w:r>
      <w:r w:rsidRPr="0010281C">
        <w:rPr>
          <w:rFonts w:ascii="Source Sans Pro" w:hAnsi="Source Sans Pro" w:cs="Calibri"/>
        </w:rPr>
        <w:t>attitudinal, law and policy reform.</w:t>
      </w:r>
    </w:p>
    <w:p w14:paraId="0E58B728" w14:textId="77777777" w:rsidR="006017AE" w:rsidRDefault="006017AE" w:rsidP="006017AE">
      <w:pPr>
        <w:pStyle w:val="NormalWeb"/>
        <w:spacing w:before="240" w:beforeAutospacing="0" w:after="120" w:afterAutospacing="0" w:line="360" w:lineRule="auto"/>
        <w:rPr>
          <w:rFonts w:ascii="Source Sans Pro" w:hAnsi="Source Sans Pro" w:cs="Calibri"/>
          <w:color w:val="000000"/>
        </w:rPr>
      </w:pPr>
      <w:r w:rsidRPr="0010281C">
        <w:rPr>
          <w:rFonts w:ascii="Source Sans Pro" w:hAnsi="Source Sans Pro" w:cs="Calibri"/>
          <w:color w:val="000000"/>
        </w:rPr>
        <w:t>QAI</w:t>
      </w:r>
      <w:r w:rsidRPr="0010281C">
        <w:rPr>
          <w:rFonts w:ascii="Source Sans Pro" w:hAnsi="Source Sans Pro" w:cs="Arial"/>
          <w:color w:val="000000"/>
        </w:rPr>
        <w:t> </w:t>
      </w:r>
      <w:r w:rsidRPr="0010281C">
        <w:rPr>
          <w:rFonts w:ascii="Source Sans Pro" w:hAnsi="Source Sans Pro" w:cs="Calibri"/>
          <w:color w:val="000000"/>
        </w:rPr>
        <w:t>also provides</w:t>
      </w:r>
      <w:r w:rsidRPr="0010281C">
        <w:rPr>
          <w:rFonts w:ascii="Source Sans Pro" w:hAnsi="Source Sans Pro" w:cs="Arial"/>
          <w:color w:val="000000"/>
        </w:rPr>
        <w:t> </w:t>
      </w:r>
      <w:r w:rsidRPr="0010281C">
        <w:rPr>
          <w:rFonts w:ascii="Source Sans Pro" w:hAnsi="Source Sans Pro" w:cs="Calibri"/>
          <w:color w:val="000000"/>
        </w:rPr>
        <w:t>individual advocacy services in the areas of human rights, disability discrimination, guardianship and administration, involuntary mental health treatment, criminal justice, NDIS access and appeals, and non-legal advocacy for young people with disability including in relation to education. Our individual advocacy experience</w:t>
      </w:r>
      <w:r w:rsidRPr="0010281C">
        <w:rPr>
          <w:rFonts w:ascii="Source Sans Pro" w:hAnsi="Source Sans Pro" w:cs="Arial"/>
          <w:color w:val="000000"/>
        </w:rPr>
        <w:t> </w:t>
      </w:r>
      <w:r w:rsidRPr="0010281C">
        <w:rPr>
          <w:rFonts w:ascii="Source Sans Pro" w:hAnsi="Source Sans Pro" w:cs="Calibri"/>
          <w:color w:val="000000"/>
        </w:rPr>
        <w:t>informs our understanding and prioritisation of systemic advocacy issues.</w:t>
      </w:r>
    </w:p>
    <w:p w14:paraId="7C7720CA" w14:textId="77777777" w:rsidR="006017AE" w:rsidRPr="0010281C" w:rsidRDefault="006017AE" w:rsidP="006017AE">
      <w:pPr>
        <w:pStyle w:val="NormalWeb"/>
        <w:spacing w:before="240" w:beforeAutospacing="0" w:after="120" w:afterAutospacing="0" w:line="360" w:lineRule="auto"/>
        <w:rPr>
          <w:rFonts w:ascii="Source Sans Pro" w:hAnsi="Source Sans Pro" w:cs="Calibri"/>
        </w:rPr>
      </w:pPr>
      <w:r w:rsidRPr="0010281C">
        <w:rPr>
          <w:rFonts w:ascii="Source Sans Pro" w:hAnsi="Source Sans Pro" w:cs="Calibri"/>
          <w:lang w:val="en-US"/>
        </w:rPr>
        <w:t>Since 1 January 2022, QAI has also been funded by the Queensland Government to establish and co-ordinate the Queensland Independent Disability Advocacy Network (QIDAN). QIDAN members work collaboratively to raise the profile of disability advocacy while also working towards attitudinal, policy and legislative change for people with disability in Queensland.</w:t>
      </w:r>
      <w:r w:rsidRPr="0010281C">
        <w:rPr>
          <w:rFonts w:ascii="Source Sans Pro" w:hAnsi="Source Sans Pro" w:cs="Calibri"/>
        </w:rPr>
        <w:t> </w:t>
      </w:r>
      <w:bookmarkEnd w:id="1"/>
    </w:p>
    <w:p w14:paraId="5F6DF9D2" w14:textId="5403631E" w:rsidR="00477AFA" w:rsidRPr="00926D59" w:rsidRDefault="00477AFA" w:rsidP="00477AFA">
      <w:pPr>
        <w:sectPr w:rsidR="00477AFA" w:rsidRPr="00926D59" w:rsidSect="006017AE">
          <w:headerReference w:type="even" r:id="rId12"/>
          <w:headerReference w:type="first" r:id="rId13"/>
          <w:footerReference w:type="first" r:id="rId14"/>
          <w:pgSz w:w="11909" w:h="16834" w:code="9"/>
          <w:pgMar w:top="964" w:right="709" w:bottom="964" w:left="709" w:header="709" w:footer="709" w:gutter="0"/>
          <w:cols w:space="720"/>
          <w:titlePg/>
          <w:docGrid w:linePitch="360"/>
        </w:sectPr>
      </w:pPr>
    </w:p>
    <w:p w14:paraId="1915E8B3" w14:textId="1EF0B275" w:rsidR="00477AFA" w:rsidRPr="001D5F5D" w:rsidRDefault="001D5F5D" w:rsidP="00477AFA">
      <w:pPr>
        <w:pStyle w:val="EYContents"/>
        <w:rPr>
          <w:rFonts w:ascii="Roboto Medium" w:hAnsi="Roboto Medium"/>
          <w:sz w:val="32"/>
          <w:szCs w:val="28"/>
        </w:rPr>
      </w:pPr>
      <w:r w:rsidRPr="001D5F5D">
        <w:rPr>
          <w:rFonts w:ascii="Roboto Medium" w:hAnsi="Roboto Medium"/>
          <w:sz w:val="32"/>
          <w:szCs w:val="28"/>
        </w:rPr>
        <w:lastRenderedPageBreak/>
        <w:t>Contents</w:t>
      </w:r>
    </w:p>
    <w:p w14:paraId="151D4FFF" w14:textId="6CD20259" w:rsidR="00FD21C8" w:rsidRDefault="00477AFA">
      <w:pPr>
        <w:pStyle w:val="TOC1"/>
        <w:rPr>
          <w:rFonts w:asciiTheme="minorHAnsi" w:eastAsiaTheme="minorEastAsia" w:hAnsiTheme="minorHAnsi" w:cstheme="minorBidi"/>
          <w:kern w:val="2"/>
          <w:sz w:val="22"/>
          <w:szCs w:val="22"/>
          <w:lang w:eastAsia="en-AU"/>
          <w14:ligatures w14:val="standardContextual"/>
        </w:rPr>
      </w:pPr>
      <w:r w:rsidRPr="000E4204">
        <w:rPr>
          <w:rFonts w:ascii="Roboto Medium" w:hAnsi="Roboto Medium"/>
          <w:noProof w:val="0"/>
        </w:rPr>
        <w:fldChar w:fldCharType="begin"/>
      </w:r>
      <w:r w:rsidRPr="000E4204">
        <w:rPr>
          <w:rFonts w:ascii="Roboto Medium" w:hAnsi="Roboto Medium"/>
          <w:noProof w:val="0"/>
        </w:rPr>
        <w:instrText xml:space="preserve"> TOC \h \z \t "EY Heading 1,1,EY Heading 2,2,EY Appendix,1" </w:instrText>
      </w:r>
      <w:r w:rsidRPr="000E4204">
        <w:rPr>
          <w:rFonts w:ascii="Roboto Medium" w:hAnsi="Roboto Medium"/>
          <w:noProof w:val="0"/>
        </w:rPr>
        <w:fldChar w:fldCharType="separate"/>
      </w:r>
      <w:hyperlink w:anchor="_Toc165390899" w:history="1">
        <w:r w:rsidR="00FD21C8" w:rsidRPr="0024019F">
          <w:rPr>
            <w:rStyle w:val="Hyperlink"/>
          </w:rPr>
          <w:t>1.</w:t>
        </w:r>
        <w:r w:rsidR="00FD21C8">
          <w:rPr>
            <w:rFonts w:asciiTheme="minorHAnsi" w:eastAsiaTheme="minorEastAsia" w:hAnsiTheme="minorHAnsi" w:cstheme="minorBidi"/>
            <w:kern w:val="2"/>
            <w:sz w:val="22"/>
            <w:szCs w:val="22"/>
            <w:lang w:eastAsia="en-AU"/>
            <w14:ligatures w14:val="standardContextual"/>
          </w:rPr>
          <w:tab/>
        </w:r>
        <w:r w:rsidR="00FD21C8" w:rsidRPr="0024019F">
          <w:rPr>
            <w:rStyle w:val="Hyperlink"/>
          </w:rPr>
          <w:t>Key findings</w:t>
        </w:r>
        <w:r w:rsidR="00FD21C8">
          <w:rPr>
            <w:webHidden/>
          </w:rPr>
          <w:tab/>
        </w:r>
        <w:r w:rsidR="00FD21C8">
          <w:rPr>
            <w:webHidden/>
          </w:rPr>
          <w:fldChar w:fldCharType="begin"/>
        </w:r>
        <w:r w:rsidR="00FD21C8">
          <w:rPr>
            <w:webHidden/>
          </w:rPr>
          <w:instrText xml:space="preserve"> PAGEREF _Toc165390899 \h </w:instrText>
        </w:r>
        <w:r w:rsidR="00FD21C8">
          <w:rPr>
            <w:webHidden/>
          </w:rPr>
        </w:r>
        <w:r w:rsidR="00FD21C8">
          <w:rPr>
            <w:webHidden/>
          </w:rPr>
          <w:fldChar w:fldCharType="separate"/>
        </w:r>
        <w:r w:rsidR="003948D2">
          <w:rPr>
            <w:webHidden/>
          </w:rPr>
          <w:t>1</w:t>
        </w:r>
        <w:r w:rsidR="00FD21C8">
          <w:rPr>
            <w:webHidden/>
          </w:rPr>
          <w:fldChar w:fldCharType="end"/>
        </w:r>
      </w:hyperlink>
    </w:p>
    <w:p w14:paraId="2092ACB3" w14:textId="6F37100C" w:rsidR="00FD21C8" w:rsidRDefault="00735AC9">
      <w:pPr>
        <w:pStyle w:val="TOC1"/>
        <w:rPr>
          <w:rFonts w:asciiTheme="minorHAnsi" w:eastAsiaTheme="minorEastAsia" w:hAnsiTheme="minorHAnsi" w:cstheme="minorBidi"/>
          <w:kern w:val="2"/>
          <w:sz w:val="22"/>
          <w:szCs w:val="22"/>
          <w:lang w:eastAsia="en-AU"/>
          <w14:ligatures w14:val="standardContextual"/>
        </w:rPr>
      </w:pPr>
      <w:hyperlink w:anchor="_Toc165390900" w:history="1">
        <w:r w:rsidR="00FD21C8" w:rsidRPr="0024019F">
          <w:rPr>
            <w:rStyle w:val="Hyperlink"/>
          </w:rPr>
          <w:t>2.</w:t>
        </w:r>
        <w:r w:rsidR="00FD21C8">
          <w:rPr>
            <w:rFonts w:asciiTheme="minorHAnsi" w:eastAsiaTheme="minorEastAsia" w:hAnsiTheme="minorHAnsi" w:cstheme="minorBidi"/>
            <w:kern w:val="2"/>
            <w:sz w:val="22"/>
            <w:szCs w:val="22"/>
            <w:lang w:eastAsia="en-AU"/>
            <w14:ligatures w14:val="standardContextual"/>
          </w:rPr>
          <w:tab/>
        </w:r>
        <w:r w:rsidR="00FD21C8" w:rsidRPr="0024019F">
          <w:rPr>
            <w:rStyle w:val="Hyperlink"/>
          </w:rPr>
          <w:t>Purpose</w:t>
        </w:r>
        <w:r w:rsidR="00FD21C8">
          <w:rPr>
            <w:webHidden/>
          </w:rPr>
          <w:tab/>
        </w:r>
        <w:r w:rsidR="00FD21C8">
          <w:rPr>
            <w:webHidden/>
          </w:rPr>
          <w:fldChar w:fldCharType="begin"/>
        </w:r>
        <w:r w:rsidR="00FD21C8">
          <w:rPr>
            <w:webHidden/>
          </w:rPr>
          <w:instrText xml:space="preserve"> PAGEREF _Toc165390900 \h </w:instrText>
        </w:r>
        <w:r w:rsidR="00FD21C8">
          <w:rPr>
            <w:webHidden/>
          </w:rPr>
        </w:r>
        <w:r w:rsidR="00FD21C8">
          <w:rPr>
            <w:webHidden/>
          </w:rPr>
          <w:fldChar w:fldCharType="separate"/>
        </w:r>
        <w:r w:rsidR="003948D2">
          <w:rPr>
            <w:webHidden/>
          </w:rPr>
          <w:t>3</w:t>
        </w:r>
        <w:r w:rsidR="00FD21C8">
          <w:rPr>
            <w:webHidden/>
          </w:rPr>
          <w:fldChar w:fldCharType="end"/>
        </w:r>
      </w:hyperlink>
    </w:p>
    <w:p w14:paraId="35F8184F" w14:textId="05FF29BA" w:rsidR="00FD21C8" w:rsidRDefault="00735AC9">
      <w:pPr>
        <w:pStyle w:val="TOC1"/>
        <w:rPr>
          <w:rFonts w:asciiTheme="minorHAnsi" w:eastAsiaTheme="minorEastAsia" w:hAnsiTheme="minorHAnsi" w:cstheme="minorBidi"/>
          <w:kern w:val="2"/>
          <w:sz w:val="22"/>
          <w:szCs w:val="22"/>
          <w:lang w:eastAsia="en-AU"/>
          <w14:ligatures w14:val="standardContextual"/>
        </w:rPr>
      </w:pPr>
      <w:hyperlink w:anchor="_Toc165390901" w:history="1">
        <w:r w:rsidR="00FD21C8" w:rsidRPr="0024019F">
          <w:rPr>
            <w:rStyle w:val="Hyperlink"/>
          </w:rPr>
          <w:t>3.</w:t>
        </w:r>
        <w:r w:rsidR="00FD21C8">
          <w:rPr>
            <w:rFonts w:asciiTheme="minorHAnsi" w:eastAsiaTheme="minorEastAsia" w:hAnsiTheme="minorHAnsi" w:cstheme="minorBidi"/>
            <w:kern w:val="2"/>
            <w:sz w:val="22"/>
            <w:szCs w:val="22"/>
            <w:lang w:eastAsia="en-AU"/>
            <w14:ligatures w14:val="standardContextual"/>
          </w:rPr>
          <w:tab/>
        </w:r>
        <w:r w:rsidR="00FD21C8" w:rsidRPr="0024019F">
          <w:rPr>
            <w:rStyle w:val="Hyperlink"/>
          </w:rPr>
          <w:t>Glossary of terms</w:t>
        </w:r>
        <w:r w:rsidR="00FD21C8">
          <w:rPr>
            <w:webHidden/>
          </w:rPr>
          <w:tab/>
        </w:r>
        <w:r w:rsidR="00FD21C8">
          <w:rPr>
            <w:webHidden/>
          </w:rPr>
          <w:fldChar w:fldCharType="begin"/>
        </w:r>
        <w:r w:rsidR="00FD21C8">
          <w:rPr>
            <w:webHidden/>
          </w:rPr>
          <w:instrText xml:space="preserve"> PAGEREF _Toc165390901 \h </w:instrText>
        </w:r>
        <w:r w:rsidR="00FD21C8">
          <w:rPr>
            <w:webHidden/>
          </w:rPr>
        </w:r>
        <w:r w:rsidR="00FD21C8">
          <w:rPr>
            <w:webHidden/>
          </w:rPr>
          <w:fldChar w:fldCharType="separate"/>
        </w:r>
        <w:r w:rsidR="003948D2">
          <w:rPr>
            <w:webHidden/>
          </w:rPr>
          <w:t>3</w:t>
        </w:r>
        <w:r w:rsidR="00FD21C8">
          <w:rPr>
            <w:webHidden/>
          </w:rPr>
          <w:fldChar w:fldCharType="end"/>
        </w:r>
      </w:hyperlink>
    </w:p>
    <w:p w14:paraId="09C95AE8" w14:textId="2DE0C306" w:rsidR="00FD21C8" w:rsidRDefault="00735AC9">
      <w:pPr>
        <w:pStyle w:val="TOC1"/>
        <w:rPr>
          <w:rFonts w:asciiTheme="minorHAnsi" w:eastAsiaTheme="minorEastAsia" w:hAnsiTheme="minorHAnsi" w:cstheme="minorBidi"/>
          <w:kern w:val="2"/>
          <w:sz w:val="22"/>
          <w:szCs w:val="22"/>
          <w:lang w:eastAsia="en-AU"/>
          <w14:ligatures w14:val="standardContextual"/>
        </w:rPr>
      </w:pPr>
      <w:hyperlink w:anchor="_Toc165390902" w:history="1">
        <w:r w:rsidR="00FD21C8" w:rsidRPr="0024019F">
          <w:rPr>
            <w:rStyle w:val="Hyperlink"/>
          </w:rPr>
          <w:t>4.</w:t>
        </w:r>
        <w:r w:rsidR="00FD21C8">
          <w:rPr>
            <w:rFonts w:asciiTheme="minorHAnsi" w:eastAsiaTheme="minorEastAsia" w:hAnsiTheme="minorHAnsi" w:cstheme="minorBidi"/>
            <w:kern w:val="2"/>
            <w:sz w:val="22"/>
            <w:szCs w:val="22"/>
            <w:lang w:eastAsia="en-AU"/>
            <w14:ligatures w14:val="standardContextual"/>
          </w:rPr>
          <w:tab/>
        </w:r>
        <w:r w:rsidR="00FD21C8" w:rsidRPr="0024019F">
          <w:rPr>
            <w:rStyle w:val="Hyperlink"/>
          </w:rPr>
          <w:t>Modelling approach</w:t>
        </w:r>
        <w:r w:rsidR="00FD21C8">
          <w:rPr>
            <w:webHidden/>
          </w:rPr>
          <w:tab/>
        </w:r>
        <w:r w:rsidR="00FD21C8">
          <w:rPr>
            <w:webHidden/>
          </w:rPr>
          <w:fldChar w:fldCharType="begin"/>
        </w:r>
        <w:r w:rsidR="00FD21C8">
          <w:rPr>
            <w:webHidden/>
          </w:rPr>
          <w:instrText xml:space="preserve"> PAGEREF _Toc165390902 \h </w:instrText>
        </w:r>
        <w:r w:rsidR="00FD21C8">
          <w:rPr>
            <w:webHidden/>
          </w:rPr>
        </w:r>
        <w:r w:rsidR="00FD21C8">
          <w:rPr>
            <w:webHidden/>
          </w:rPr>
          <w:fldChar w:fldCharType="separate"/>
        </w:r>
        <w:r w:rsidR="003948D2">
          <w:rPr>
            <w:webHidden/>
          </w:rPr>
          <w:t>4</w:t>
        </w:r>
        <w:r w:rsidR="00FD21C8">
          <w:rPr>
            <w:webHidden/>
          </w:rPr>
          <w:fldChar w:fldCharType="end"/>
        </w:r>
      </w:hyperlink>
    </w:p>
    <w:p w14:paraId="0CB11F58" w14:textId="675F01A4" w:rsidR="00FD21C8" w:rsidRDefault="00735AC9">
      <w:pPr>
        <w:pStyle w:val="TOC1"/>
        <w:rPr>
          <w:rFonts w:asciiTheme="minorHAnsi" w:eastAsiaTheme="minorEastAsia" w:hAnsiTheme="minorHAnsi" w:cstheme="minorBidi"/>
          <w:kern w:val="2"/>
          <w:sz w:val="22"/>
          <w:szCs w:val="22"/>
          <w:lang w:eastAsia="en-AU"/>
          <w14:ligatures w14:val="standardContextual"/>
        </w:rPr>
      </w:pPr>
      <w:hyperlink w:anchor="_Toc165390903" w:history="1">
        <w:r w:rsidR="00FD21C8" w:rsidRPr="0024019F">
          <w:rPr>
            <w:rStyle w:val="Hyperlink"/>
          </w:rPr>
          <w:t>5.</w:t>
        </w:r>
        <w:r w:rsidR="00FD21C8">
          <w:rPr>
            <w:rFonts w:asciiTheme="minorHAnsi" w:eastAsiaTheme="minorEastAsia" w:hAnsiTheme="minorHAnsi" w:cstheme="minorBidi"/>
            <w:kern w:val="2"/>
            <w:sz w:val="22"/>
            <w:szCs w:val="22"/>
            <w:lang w:eastAsia="en-AU"/>
            <w14:ligatures w14:val="standardContextual"/>
          </w:rPr>
          <w:tab/>
        </w:r>
        <w:r w:rsidR="00FD21C8" w:rsidRPr="0024019F">
          <w:rPr>
            <w:rStyle w:val="Hyperlink"/>
          </w:rPr>
          <w:t>Data availability and use</w:t>
        </w:r>
        <w:r w:rsidR="00FD21C8">
          <w:rPr>
            <w:webHidden/>
          </w:rPr>
          <w:tab/>
        </w:r>
        <w:r w:rsidR="00FD21C8">
          <w:rPr>
            <w:webHidden/>
          </w:rPr>
          <w:fldChar w:fldCharType="begin"/>
        </w:r>
        <w:r w:rsidR="00FD21C8">
          <w:rPr>
            <w:webHidden/>
          </w:rPr>
          <w:instrText xml:space="preserve"> PAGEREF _Toc165390903 \h </w:instrText>
        </w:r>
        <w:r w:rsidR="00FD21C8">
          <w:rPr>
            <w:webHidden/>
          </w:rPr>
        </w:r>
        <w:r w:rsidR="00FD21C8">
          <w:rPr>
            <w:webHidden/>
          </w:rPr>
          <w:fldChar w:fldCharType="separate"/>
        </w:r>
        <w:r w:rsidR="003948D2">
          <w:rPr>
            <w:webHidden/>
          </w:rPr>
          <w:t>7</w:t>
        </w:r>
        <w:r w:rsidR="00FD21C8">
          <w:rPr>
            <w:webHidden/>
          </w:rPr>
          <w:fldChar w:fldCharType="end"/>
        </w:r>
      </w:hyperlink>
    </w:p>
    <w:p w14:paraId="020C3B21" w14:textId="1304535D" w:rsidR="00FD21C8" w:rsidRDefault="00735AC9">
      <w:pPr>
        <w:pStyle w:val="TOC2"/>
        <w:rPr>
          <w:rFonts w:asciiTheme="minorHAnsi" w:eastAsiaTheme="minorEastAsia" w:hAnsiTheme="minorHAnsi" w:cstheme="minorBidi"/>
          <w:kern w:val="2"/>
          <w:sz w:val="22"/>
          <w:szCs w:val="22"/>
          <w:lang w:eastAsia="en-AU"/>
          <w14:ligatures w14:val="standardContextual"/>
        </w:rPr>
      </w:pPr>
      <w:hyperlink w:anchor="_Toc165390904" w:history="1">
        <w:r w:rsidR="00FD21C8" w:rsidRPr="0024019F">
          <w:rPr>
            <w:rStyle w:val="Hyperlink"/>
          </w:rPr>
          <w:t>5.1</w:t>
        </w:r>
        <w:r w:rsidR="00FD21C8">
          <w:rPr>
            <w:rFonts w:asciiTheme="minorHAnsi" w:eastAsiaTheme="minorEastAsia" w:hAnsiTheme="minorHAnsi" w:cstheme="minorBidi"/>
            <w:kern w:val="2"/>
            <w:sz w:val="22"/>
            <w:szCs w:val="22"/>
            <w:lang w:eastAsia="en-AU"/>
            <w14:ligatures w14:val="standardContextual"/>
          </w:rPr>
          <w:tab/>
        </w:r>
        <w:r w:rsidR="00FD21C8" w:rsidRPr="0024019F">
          <w:rPr>
            <w:rStyle w:val="Hyperlink"/>
          </w:rPr>
          <w:t>Data gaps</w:t>
        </w:r>
        <w:r w:rsidR="00FD21C8">
          <w:rPr>
            <w:webHidden/>
          </w:rPr>
          <w:tab/>
        </w:r>
        <w:r w:rsidR="00FD21C8">
          <w:rPr>
            <w:webHidden/>
          </w:rPr>
          <w:fldChar w:fldCharType="begin"/>
        </w:r>
        <w:r w:rsidR="00FD21C8">
          <w:rPr>
            <w:webHidden/>
          </w:rPr>
          <w:instrText xml:space="preserve"> PAGEREF _Toc165390904 \h </w:instrText>
        </w:r>
        <w:r w:rsidR="00FD21C8">
          <w:rPr>
            <w:webHidden/>
          </w:rPr>
        </w:r>
        <w:r w:rsidR="00FD21C8">
          <w:rPr>
            <w:webHidden/>
          </w:rPr>
          <w:fldChar w:fldCharType="separate"/>
        </w:r>
        <w:r w:rsidR="003948D2">
          <w:rPr>
            <w:webHidden/>
          </w:rPr>
          <w:t>7</w:t>
        </w:r>
        <w:r w:rsidR="00FD21C8">
          <w:rPr>
            <w:webHidden/>
          </w:rPr>
          <w:fldChar w:fldCharType="end"/>
        </w:r>
      </w:hyperlink>
    </w:p>
    <w:p w14:paraId="2A451165" w14:textId="76B60615" w:rsidR="00FD21C8" w:rsidRDefault="00735AC9">
      <w:pPr>
        <w:pStyle w:val="TOC2"/>
        <w:rPr>
          <w:rFonts w:asciiTheme="minorHAnsi" w:eastAsiaTheme="minorEastAsia" w:hAnsiTheme="minorHAnsi" w:cstheme="minorBidi"/>
          <w:kern w:val="2"/>
          <w:sz w:val="22"/>
          <w:szCs w:val="22"/>
          <w:lang w:eastAsia="en-AU"/>
          <w14:ligatures w14:val="standardContextual"/>
        </w:rPr>
      </w:pPr>
      <w:hyperlink w:anchor="_Toc165390905" w:history="1">
        <w:r w:rsidR="00FD21C8" w:rsidRPr="0024019F">
          <w:rPr>
            <w:rStyle w:val="Hyperlink"/>
          </w:rPr>
          <w:t>5.2</w:t>
        </w:r>
        <w:r w:rsidR="00FD21C8">
          <w:rPr>
            <w:rFonts w:asciiTheme="minorHAnsi" w:eastAsiaTheme="minorEastAsia" w:hAnsiTheme="minorHAnsi" w:cstheme="minorBidi"/>
            <w:kern w:val="2"/>
            <w:sz w:val="22"/>
            <w:szCs w:val="22"/>
            <w:lang w:eastAsia="en-AU"/>
            <w14:ligatures w14:val="standardContextual"/>
          </w:rPr>
          <w:tab/>
        </w:r>
        <w:r w:rsidR="00FD21C8" w:rsidRPr="0024019F">
          <w:rPr>
            <w:rStyle w:val="Hyperlink"/>
          </w:rPr>
          <w:t>Cohort size</w:t>
        </w:r>
        <w:r w:rsidR="00FD21C8">
          <w:rPr>
            <w:webHidden/>
          </w:rPr>
          <w:tab/>
        </w:r>
        <w:r w:rsidR="00FD21C8">
          <w:rPr>
            <w:webHidden/>
          </w:rPr>
          <w:fldChar w:fldCharType="begin"/>
        </w:r>
        <w:r w:rsidR="00FD21C8">
          <w:rPr>
            <w:webHidden/>
          </w:rPr>
          <w:instrText xml:space="preserve"> PAGEREF _Toc165390905 \h </w:instrText>
        </w:r>
        <w:r w:rsidR="00FD21C8">
          <w:rPr>
            <w:webHidden/>
          </w:rPr>
        </w:r>
        <w:r w:rsidR="00FD21C8">
          <w:rPr>
            <w:webHidden/>
          </w:rPr>
          <w:fldChar w:fldCharType="separate"/>
        </w:r>
        <w:r w:rsidR="003948D2">
          <w:rPr>
            <w:webHidden/>
          </w:rPr>
          <w:t>7</w:t>
        </w:r>
        <w:r w:rsidR="00FD21C8">
          <w:rPr>
            <w:webHidden/>
          </w:rPr>
          <w:fldChar w:fldCharType="end"/>
        </w:r>
      </w:hyperlink>
    </w:p>
    <w:p w14:paraId="36B91035" w14:textId="678A7C91" w:rsidR="00FD21C8" w:rsidRDefault="00735AC9">
      <w:pPr>
        <w:pStyle w:val="TOC2"/>
        <w:rPr>
          <w:rFonts w:asciiTheme="minorHAnsi" w:eastAsiaTheme="minorEastAsia" w:hAnsiTheme="minorHAnsi" w:cstheme="minorBidi"/>
          <w:kern w:val="2"/>
          <w:sz w:val="22"/>
          <w:szCs w:val="22"/>
          <w:lang w:eastAsia="en-AU"/>
          <w14:ligatures w14:val="standardContextual"/>
        </w:rPr>
      </w:pPr>
      <w:hyperlink w:anchor="_Toc165390906" w:history="1">
        <w:r w:rsidR="00FD21C8" w:rsidRPr="0024019F">
          <w:rPr>
            <w:rStyle w:val="Hyperlink"/>
          </w:rPr>
          <w:t>5.3</w:t>
        </w:r>
        <w:r w:rsidR="00FD21C8">
          <w:rPr>
            <w:rFonts w:asciiTheme="minorHAnsi" w:eastAsiaTheme="minorEastAsia" w:hAnsiTheme="minorHAnsi" w:cstheme="minorBidi"/>
            <w:kern w:val="2"/>
            <w:sz w:val="22"/>
            <w:szCs w:val="22"/>
            <w:lang w:eastAsia="en-AU"/>
            <w14:ligatures w14:val="standardContextual"/>
          </w:rPr>
          <w:tab/>
        </w:r>
        <w:r w:rsidR="00FD21C8" w:rsidRPr="0024019F">
          <w:rPr>
            <w:rStyle w:val="Hyperlink"/>
          </w:rPr>
          <w:t>Short-term impacts</w:t>
        </w:r>
        <w:r w:rsidR="00FD21C8">
          <w:rPr>
            <w:webHidden/>
          </w:rPr>
          <w:tab/>
        </w:r>
        <w:r w:rsidR="00FD21C8">
          <w:rPr>
            <w:webHidden/>
          </w:rPr>
          <w:fldChar w:fldCharType="begin"/>
        </w:r>
        <w:r w:rsidR="00FD21C8">
          <w:rPr>
            <w:webHidden/>
          </w:rPr>
          <w:instrText xml:space="preserve"> PAGEREF _Toc165390906 \h </w:instrText>
        </w:r>
        <w:r w:rsidR="00FD21C8">
          <w:rPr>
            <w:webHidden/>
          </w:rPr>
        </w:r>
        <w:r w:rsidR="00FD21C8">
          <w:rPr>
            <w:webHidden/>
          </w:rPr>
          <w:fldChar w:fldCharType="separate"/>
        </w:r>
        <w:r w:rsidR="003948D2">
          <w:rPr>
            <w:webHidden/>
          </w:rPr>
          <w:t>8</w:t>
        </w:r>
        <w:r w:rsidR="00FD21C8">
          <w:rPr>
            <w:webHidden/>
          </w:rPr>
          <w:fldChar w:fldCharType="end"/>
        </w:r>
      </w:hyperlink>
    </w:p>
    <w:p w14:paraId="74AF9ACA" w14:textId="2BC39682" w:rsidR="00FD21C8" w:rsidRDefault="00735AC9">
      <w:pPr>
        <w:pStyle w:val="TOC2"/>
        <w:rPr>
          <w:rFonts w:asciiTheme="minorHAnsi" w:eastAsiaTheme="minorEastAsia" w:hAnsiTheme="minorHAnsi" w:cstheme="minorBidi"/>
          <w:kern w:val="2"/>
          <w:sz w:val="22"/>
          <w:szCs w:val="22"/>
          <w:lang w:eastAsia="en-AU"/>
          <w14:ligatures w14:val="standardContextual"/>
        </w:rPr>
      </w:pPr>
      <w:hyperlink w:anchor="_Toc165390907" w:history="1">
        <w:r w:rsidR="00FD21C8" w:rsidRPr="0024019F">
          <w:rPr>
            <w:rStyle w:val="Hyperlink"/>
          </w:rPr>
          <w:t>5.4</w:t>
        </w:r>
        <w:r w:rsidR="00FD21C8">
          <w:rPr>
            <w:rFonts w:asciiTheme="minorHAnsi" w:eastAsiaTheme="minorEastAsia" w:hAnsiTheme="minorHAnsi" w:cstheme="minorBidi"/>
            <w:kern w:val="2"/>
            <w:sz w:val="22"/>
            <w:szCs w:val="22"/>
            <w:lang w:eastAsia="en-AU"/>
            <w14:ligatures w14:val="standardContextual"/>
          </w:rPr>
          <w:tab/>
        </w:r>
        <w:r w:rsidR="00FD21C8" w:rsidRPr="0024019F">
          <w:rPr>
            <w:rStyle w:val="Hyperlink"/>
          </w:rPr>
          <w:t>Long-term impacts</w:t>
        </w:r>
        <w:r w:rsidR="00FD21C8">
          <w:rPr>
            <w:webHidden/>
          </w:rPr>
          <w:tab/>
        </w:r>
        <w:r w:rsidR="00FD21C8">
          <w:rPr>
            <w:webHidden/>
          </w:rPr>
          <w:fldChar w:fldCharType="begin"/>
        </w:r>
        <w:r w:rsidR="00FD21C8">
          <w:rPr>
            <w:webHidden/>
          </w:rPr>
          <w:instrText xml:space="preserve"> PAGEREF _Toc165390907 \h </w:instrText>
        </w:r>
        <w:r w:rsidR="00FD21C8">
          <w:rPr>
            <w:webHidden/>
          </w:rPr>
        </w:r>
        <w:r w:rsidR="00FD21C8">
          <w:rPr>
            <w:webHidden/>
          </w:rPr>
          <w:fldChar w:fldCharType="separate"/>
        </w:r>
        <w:r w:rsidR="003948D2">
          <w:rPr>
            <w:webHidden/>
          </w:rPr>
          <w:t>10</w:t>
        </w:r>
        <w:r w:rsidR="00FD21C8">
          <w:rPr>
            <w:webHidden/>
          </w:rPr>
          <w:fldChar w:fldCharType="end"/>
        </w:r>
      </w:hyperlink>
    </w:p>
    <w:p w14:paraId="0FD239E9" w14:textId="6A571769" w:rsidR="00FD21C8" w:rsidRDefault="00735AC9">
      <w:pPr>
        <w:pStyle w:val="TOC1"/>
        <w:rPr>
          <w:rFonts w:asciiTheme="minorHAnsi" w:eastAsiaTheme="minorEastAsia" w:hAnsiTheme="minorHAnsi" w:cstheme="minorBidi"/>
          <w:kern w:val="2"/>
          <w:sz w:val="22"/>
          <w:szCs w:val="22"/>
          <w:lang w:eastAsia="en-AU"/>
          <w14:ligatures w14:val="standardContextual"/>
        </w:rPr>
      </w:pPr>
      <w:hyperlink w:anchor="_Toc165390908" w:history="1">
        <w:r w:rsidR="00FD21C8" w:rsidRPr="0024019F">
          <w:rPr>
            <w:rStyle w:val="Hyperlink"/>
          </w:rPr>
          <w:t>6.</w:t>
        </w:r>
        <w:r w:rsidR="00FD21C8">
          <w:rPr>
            <w:rFonts w:asciiTheme="minorHAnsi" w:eastAsiaTheme="minorEastAsia" w:hAnsiTheme="minorHAnsi" w:cstheme="minorBidi"/>
            <w:kern w:val="2"/>
            <w:sz w:val="22"/>
            <w:szCs w:val="22"/>
            <w:lang w:eastAsia="en-AU"/>
            <w14:ligatures w14:val="standardContextual"/>
          </w:rPr>
          <w:tab/>
        </w:r>
        <w:r w:rsidR="00FD21C8" w:rsidRPr="0024019F">
          <w:rPr>
            <w:rStyle w:val="Hyperlink"/>
          </w:rPr>
          <w:t>Assumptions and limitations</w:t>
        </w:r>
        <w:r w:rsidR="00FD21C8">
          <w:rPr>
            <w:webHidden/>
          </w:rPr>
          <w:tab/>
        </w:r>
        <w:r w:rsidR="00FD21C8">
          <w:rPr>
            <w:webHidden/>
          </w:rPr>
          <w:fldChar w:fldCharType="begin"/>
        </w:r>
        <w:r w:rsidR="00FD21C8">
          <w:rPr>
            <w:webHidden/>
          </w:rPr>
          <w:instrText xml:space="preserve"> PAGEREF _Toc165390908 \h </w:instrText>
        </w:r>
        <w:r w:rsidR="00FD21C8">
          <w:rPr>
            <w:webHidden/>
          </w:rPr>
        </w:r>
        <w:r w:rsidR="00FD21C8">
          <w:rPr>
            <w:webHidden/>
          </w:rPr>
          <w:fldChar w:fldCharType="separate"/>
        </w:r>
        <w:r w:rsidR="003948D2">
          <w:rPr>
            <w:webHidden/>
          </w:rPr>
          <w:t>12</w:t>
        </w:r>
        <w:r w:rsidR="00FD21C8">
          <w:rPr>
            <w:webHidden/>
          </w:rPr>
          <w:fldChar w:fldCharType="end"/>
        </w:r>
      </w:hyperlink>
    </w:p>
    <w:p w14:paraId="0F04634F" w14:textId="2BC023A7" w:rsidR="00FD21C8" w:rsidRDefault="00735AC9">
      <w:pPr>
        <w:pStyle w:val="TOC2"/>
        <w:rPr>
          <w:rFonts w:asciiTheme="minorHAnsi" w:eastAsiaTheme="minorEastAsia" w:hAnsiTheme="minorHAnsi" w:cstheme="minorBidi"/>
          <w:kern w:val="2"/>
          <w:sz w:val="22"/>
          <w:szCs w:val="22"/>
          <w:lang w:eastAsia="en-AU"/>
          <w14:ligatures w14:val="standardContextual"/>
        </w:rPr>
      </w:pPr>
      <w:hyperlink w:anchor="_Toc165390909" w:history="1">
        <w:r w:rsidR="00FD21C8" w:rsidRPr="0024019F">
          <w:rPr>
            <w:rStyle w:val="Hyperlink"/>
          </w:rPr>
          <w:t>6.1</w:t>
        </w:r>
        <w:r w:rsidR="00FD21C8">
          <w:rPr>
            <w:rFonts w:asciiTheme="minorHAnsi" w:eastAsiaTheme="minorEastAsia" w:hAnsiTheme="minorHAnsi" w:cstheme="minorBidi"/>
            <w:kern w:val="2"/>
            <w:sz w:val="22"/>
            <w:szCs w:val="22"/>
            <w:lang w:eastAsia="en-AU"/>
            <w14:ligatures w14:val="standardContextual"/>
          </w:rPr>
          <w:tab/>
        </w:r>
        <w:r w:rsidR="00FD21C8" w:rsidRPr="0024019F">
          <w:rPr>
            <w:rStyle w:val="Hyperlink"/>
          </w:rPr>
          <w:t>Key assumptions and limitations around our approach</w:t>
        </w:r>
        <w:r w:rsidR="00FD21C8">
          <w:rPr>
            <w:webHidden/>
          </w:rPr>
          <w:tab/>
        </w:r>
        <w:r w:rsidR="00FD21C8">
          <w:rPr>
            <w:webHidden/>
          </w:rPr>
          <w:fldChar w:fldCharType="begin"/>
        </w:r>
        <w:r w:rsidR="00FD21C8">
          <w:rPr>
            <w:webHidden/>
          </w:rPr>
          <w:instrText xml:space="preserve"> PAGEREF _Toc165390909 \h </w:instrText>
        </w:r>
        <w:r w:rsidR="00FD21C8">
          <w:rPr>
            <w:webHidden/>
          </w:rPr>
        </w:r>
        <w:r w:rsidR="00FD21C8">
          <w:rPr>
            <w:webHidden/>
          </w:rPr>
          <w:fldChar w:fldCharType="separate"/>
        </w:r>
        <w:r w:rsidR="003948D2">
          <w:rPr>
            <w:webHidden/>
          </w:rPr>
          <w:t>12</w:t>
        </w:r>
        <w:r w:rsidR="00FD21C8">
          <w:rPr>
            <w:webHidden/>
          </w:rPr>
          <w:fldChar w:fldCharType="end"/>
        </w:r>
      </w:hyperlink>
    </w:p>
    <w:p w14:paraId="36628200" w14:textId="651AA753" w:rsidR="00FD21C8" w:rsidRDefault="00735AC9">
      <w:pPr>
        <w:pStyle w:val="TOC2"/>
        <w:rPr>
          <w:rFonts w:asciiTheme="minorHAnsi" w:eastAsiaTheme="minorEastAsia" w:hAnsiTheme="minorHAnsi" w:cstheme="minorBidi"/>
          <w:kern w:val="2"/>
          <w:sz w:val="22"/>
          <w:szCs w:val="22"/>
          <w:lang w:eastAsia="en-AU"/>
          <w14:ligatures w14:val="standardContextual"/>
        </w:rPr>
      </w:pPr>
      <w:hyperlink w:anchor="_Toc165390910" w:history="1">
        <w:r w:rsidR="00FD21C8" w:rsidRPr="0024019F">
          <w:rPr>
            <w:rStyle w:val="Hyperlink"/>
          </w:rPr>
          <w:t>6.2</w:t>
        </w:r>
        <w:r w:rsidR="00FD21C8">
          <w:rPr>
            <w:rFonts w:asciiTheme="minorHAnsi" w:eastAsiaTheme="minorEastAsia" w:hAnsiTheme="minorHAnsi" w:cstheme="minorBidi"/>
            <w:kern w:val="2"/>
            <w:sz w:val="22"/>
            <w:szCs w:val="22"/>
            <w:lang w:eastAsia="en-AU"/>
            <w14:ligatures w14:val="standardContextual"/>
          </w:rPr>
          <w:tab/>
        </w:r>
        <w:r w:rsidR="00FD21C8" w:rsidRPr="0024019F">
          <w:rPr>
            <w:rStyle w:val="Hyperlink"/>
          </w:rPr>
          <w:t>Assumptions relating to data sources</w:t>
        </w:r>
        <w:r w:rsidR="00FD21C8">
          <w:rPr>
            <w:webHidden/>
          </w:rPr>
          <w:tab/>
        </w:r>
        <w:r w:rsidR="00FD21C8">
          <w:rPr>
            <w:webHidden/>
          </w:rPr>
          <w:fldChar w:fldCharType="begin"/>
        </w:r>
        <w:r w:rsidR="00FD21C8">
          <w:rPr>
            <w:webHidden/>
          </w:rPr>
          <w:instrText xml:space="preserve"> PAGEREF _Toc165390910 \h </w:instrText>
        </w:r>
        <w:r w:rsidR="00FD21C8">
          <w:rPr>
            <w:webHidden/>
          </w:rPr>
        </w:r>
        <w:r w:rsidR="00FD21C8">
          <w:rPr>
            <w:webHidden/>
          </w:rPr>
          <w:fldChar w:fldCharType="separate"/>
        </w:r>
        <w:r w:rsidR="003948D2">
          <w:rPr>
            <w:webHidden/>
          </w:rPr>
          <w:t>12</w:t>
        </w:r>
        <w:r w:rsidR="00FD21C8">
          <w:rPr>
            <w:webHidden/>
          </w:rPr>
          <w:fldChar w:fldCharType="end"/>
        </w:r>
      </w:hyperlink>
    </w:p>
    <w:p w14:paraId="7C220B98" w14:textId="5CF79FDE" w:rsidR="00FD21C8" w:rsidRDefault="00735AC9">
      <w:pPr>
        <w:pStyle w:val="TOC2"/>
        <w:rPr>
          <w:rFonts w:asciiTheme="minorHAnsi" w:eastAsiaTheme="minorEastAsia" w:hAnsiTheme="minorHAnsi" w:cstheme="minorBidi"/>
          <w:kern w:val="2"/>
          <w:sz w:val="22"/>
          <w:szCs w:val="22"/>
          <w:lang w:eastAsia="en-AU"/>
          <w14:ligatures w14:val="standardContextual"/>
        </w:rPr>
      </w:pPr>
      <w:hyperlink w:anchor="_Toc165390911" w:history="1">
        <w:r w:rsidR="00FD21C8" w:rsidRPr="0024019F">
          <w:rPr>
            <w:rStyle w:val="Hyperlink"/>
          </w:rPr>
          <w:t>6.3</w:t>
        </w:r>
        <w:r w:rsidR="00FD21C8">
          <w:rPr>
            <w:rFonts w:asciiTheme="minorHAnsi" w:eastAsiaTheme="minorEastAsia" w:hAnsiTheme="minorHAnsi" w:cstheme="minorBidi"/>
            <w:kern w:val="2"/>
            <w:sz w:val="22"/>
            <w:szCs w:val="22"/>
            <w:lang w:eastAsia="en-AU"/>
            <w14:ligatures w14:val="standardContextual"/>
          </w:rPr>
          <w:tab/>
        </w:r>
        <w:r w:rsidR="00FD21C8" w:rsidRPr="0024019F">
          <w:rPr>
            <w:rStyle w:val="Hyperlink"/>
          </w:rPr>
          <w:t>Assumptions relating to Youth Justice cost estimation approach</w:t>
        </w:r>
        <w:r w:rsidR="00FD21C8">
          <w:rPr>
            <w:webHidden/>
          </w:rPr>
          <w:tab/>
        </w:r>
        <w:r w:rsidR="00FD21C8">
          <w:rPr>
            <w:webHidden/>
          </w:rPr>
          <w:fldChar w:fldCharType="begin"/>
        </w:r>
        <w:r w:rsidR="00FD21C8">
          <w:rPr>
            <w:webHidden/>
          </w:rPr>
          <w:instrText xml:space="preserve"> PAGEREF _Toc165390911 \h </w:instrText>
        </w:r>
        <w:r w:rsidR="00FD21C8">
          <w:rPr>
            <w:webHidden/>
          </w:rPr>
        </w:r>
        <w:r w:rsidR="00FD21C8">
          <w:rPr>
            <w:webHidden/>
          </w:rPr>
          <w:fldChar w:fldCharType="separate"/>
        </w:r>
        <w:r w:rsidR="003948D2">
          <w:rPr>
            <w:webHidden/>
          </w:rPr>
          <w:t>14</w:t>
        </w:r>
        <w:r w:rsidR="00FD21C8">
          <w:rPr>
            <w:webHidden/>
          </w:rPr>
          <w:fldChar w:fldCharType="end"/>
        </w:r>
      </w:hyperlink>
    </w:p>
    <w:p w14:paraId="4123BF01" w14:textId="42CA2E17" w:rsidR="00FD21C8" w:rsidRDefault="00735AC9">
      <w:pPr>
        <w:pStyle w:val="TOC1"/>
        <w:tabs>
          <w:tab w:val="left" w:pos="1320"/>
        </w:tabs>
        <w:rPr>
          <w:rFonts w:asciiTheme="minorHAnsi" w:eastAsiaTheme="minorEastAsia" w:hAnsiTheme="minorHAnsi" w:cstheme="minorBidi"/>
          <w:kern w:val="2"/>
          <w:sz w:val="22"/>
          <w:szCs w:val="22"/>
          <w:lang w:eastAsia="en-AU"/>
          <w14:ligatures w14:val="standardContextual"/>
        </w:rPr>
      </w:pPr>
      <w:hyperlink w:anchor="_Toc165390912" w:history="1">
        <w:r w:rsidR="00FD21C8" w:rsidRPr="0024019F">
          <w:rPr>
            <w:rStyle w:val="Hyperlink"/>
          </w:rPr>
          <w:t>Appendix A</w:t>
        </w:r>
        <w:r w:rsidR="00FD21C8">
          <w:rPr>
            <w:rFonts w:asciiTheme="minorHAnsi" w:eastAsiaTheme="minorEastAsia" w:hAnsiTheme="minorHAnsi" w:cstheme="minorBidi"/>
            <w:kern w:val="2"/>
            <w:sz w:val="22"/>
            <w:szCs w:val="22"/>
            <w:lang w:eastAsia="en-AU"/>
            <w14:ligatures w14:val="standardContextual"/>
          </w:rPr>
          <w:tab/>
        </w:r>
        <w:r w:rsidR="00FD21C8" w:rsidRPr="0024019F">
          <w:rPr>
            <w:rStyle w:val="Hyperlink"/>
          </w:rPr>
          <w:t>Cohort size</w:t>
        </w:r>
        <w:r w:rsidR="00FD21C8">
          <w:rPr>
            <w:webHidden/>
          </w:rPr>
          <w:tab/>
        </w:r>
        <w:r w:rsidR="00FD21C8">
          <w:rPr>
            <w:webHidden/>
          </w:rPr>
          <w:fldChar w:fldCharType="begin"/>
        </w:r>
        <w:r w:rsidR="00FD21C8">
          <w:rPr>
            <w:webHidden/>
          </w:rPr>
          <w:instrText xml:space="preserve"> PAGEREF _Toc165390912 \h </w:instrText>
        </w:r>
        <w:r w:rsidR="00FD21C8">
          <w:rPr>
            <w:webHidden/>
          </w:rPr>
        </w:r>
        <w:r w:rsidR="00FD21C8">
          <w:rPr>
            <w:webHidden/>
          </w:rPr>
          <w:fldChar w:fldCharType="separate"/>
        </w:r>
        <w:r w:rsidR="003948D2">
          <w:rPr>
            <w:webHidden/>
          </w:rPr>
          <w:t>16</w:t>
        </w:r>
        <w:r w:rsidR="00FD21C8">
          <w:rPr>
            <w:webHidden/>
          </w:rPr>
          <w:fldChar w:fldCharType="end"/>
        </w:r>
      </w:hyperlink>
    </w:p>
    <w:p w14:paraId="13635BB6" w14:textId="63D094C1" w:rsidR="00FD21C8" w:rsidRDefault="00735AC9">
      <w:pPr>
        <w:pStyle w:val="TOC1"/>
        <w:tabs>
          <w:tab w:val="left" w:pos="1320"/>
        </w:tabs>
        <w:rPr>
          <w:rFonts w:asciiTheme="minorHAnsi" w:eastAsiaTheme="minorEastAsia" w:hAnsiTheme="minorHAnsi" w:cstheme="minorBidi"/>
          <w:kern w:val="2"/>
          <w:sz w:val="22"/>
          <w:szCs w:val="22"/>
          <w:lang w:eastAsia="en-AU"/>
          <w14:ligatures w14:val="standardContextual"/>
        </w:rPr>
      </w:pPr>
      <w:hyperlink w:anchor="_Toc165390913" w:history="1">
        <w:r w:rsidR="00FD21C8" w:rsidRPr="0024019F">
          <w:rPr>
            <w:rStyle w:val="Hyperlink"/>
          </w:rPr>
          <w:t>Appendix B</w:t>
        </w:r>
        <w:r w:rsidR="00FD21C8">
          <w:rPr>
            <w:rFonts w:asciiTheme="minorHAnsi" w:eastAsiaTheme="minorEastAsia" w:hAnsiTheme="minorHAnsi" w:cstheme="minorBidi"/>
            <w:kern w:val="2"/>
            <w:sz w:val="22"/>
            <w:szCs w:val="22"/>
            <w:lang w:eastAsia="en-AU"/>
            <w14:ligatures w14:val="standardContextual"/>
          </w:rPr>
          <w:tab/>
        </w:r>
        <w:r w:rsidR="00FD21C8" w:rsidRPr="0024019F">
          <w:rPr>
            <w:rStyle w:val="Hyperlink"/>
          </w:rPr>
          <w:t>Short-term impacts</w:t>
        </w:r>
        <w:r w:rsidR="00FD21C8">
          <w:rPr>
            <w:webHidden/>
          </w:rPr>
          <w:tab/>
        </w:r>
        <w:r w:rsidR="00FD21C8">
          <w:rPr>
            <w:webHidden/>
          </w:rPr>
          <w:fldChar w:fldCharType="begin"/>
        </w:r>
        <w:r w:rsidR="00FD21C8">
          <w:rPr>
            <w:webHidden/>
          </w:rPr>
          <w:instrText xml:space="preserve"> PAGEREF _Toc165390913 \h </w:instrText>
        </w:r>
        <w:r w:rsidR="00FD21C8">
          <w:rPr>
            <w:webHidden/>
          </w:rPr>
        </w:r>
        <w:r w:rsidR="00FD21C8">
          <w:rPr>
            <w:webHidden/>
          </w:rPr>
          <w:fldChar w:fldCharType="separate"/>
        </w:r>
        <w:r w:rsidR="003948D2">
          <w:rPr>
            <w:webHidden/>
          </w:rPr>
          <w:t>17</w:t>
        </w:r>
        <w:r w:rsidR="00FD21C8">
          <w:rPr>
            <w:webHidden/>
          </w:rPr>
          <w:fldChar w:fldCharType="end"/>
        </w:r>
      </w:hyperlink>
    </w:p>
    <w:p w14:paraId="65C2207E" w14:textId="776467A0" w:rsidR="00FD21C8" w:rsidRDefault="00735AC9">
      <w:pPr>
        <w:pStyle w:val="TOC1"/>
        <w:tabs>
          <w:tab w:val="left" w:pos="1320"/>
        </w:tabs>
        <w:rPr>
          <w:rFonts w:asciiTheme="minorHAnsi" w:eastAsiaTheme="minorEastAsia" w:hAnsiTheme="minorHAnsi" w:cstheme="minorBidi"/>
          <w:kern w:val="2"/>
          <w:sz w:val="22"/>
          <w:szCs w:val="22"/>
          <w:lang w:eastAsia="en-AU"/>
          <w14:ligatures w14:val="standardContextual"/>
        </w:rPr>
      </w:pPr>
      <w:hyperlink w:anchor="_Toc165390914" w:history="1">
        <w:r w:rsidR="00FD21C8" w:rsidRPr="0024019F">
          <w:rPr>
            <w:rStyle w:val="Hyperlink"/>
          </w:rPr>
          <w:t>Appendix C</w:t>
        </w:r>
        <w:r w:rsidR="00FD21C8">
          <w:rPr>
            <w:rFonts w:asciiTheme="minorHAnsi" w:eastAsiaTheme="minorEastAsia" w:hAnsiTheme="minorHAnsi" w:cstheme="minorBidi"/>
            <w:kern w:val="2"/>
            <w:sz w:val="22"/>
            <w:szCs w:val="22"/>
            <w:lang w:eastAsia="en-AU"/>
            <w14:ligatures w14:val="standardContextual"/>
          </w:rPr>
          <w:tab/>
        </w:r>
        <w:r w:rsidR="00FD21C8" w:rsidRPr="0024019F">
          <w:rPr>
            <w:rStyle w:val="Hyperlink"/>
          </w:rPr>
          <w:t>Long-term impacts</w:t>
        </w:r>
        <w:r w:rsidR="00FD21C8">
          <w:rPr>
            <w:webHidden/>
          </w:rPr>
          <w:tab/>
        </w:r>
        <w:r w:rsidR="00FD21C8">
          <w:rPr>
            <w:webHidden/>
          </w:rPr>
          <w:fldChar w:fldCharType="begin"/>
        </w:r>
        <w:r w:rsidR="00FD21C8">
          <w:rPr>
            <w:webHidden/>
          </w:rPr>
          <w:instrText xml:space="preserve"> PAGEREF _Toc165390914 \h </w:instrText>
        </w:r>
        <w:r w:rsidR="00FD21C8">
          <w:rPr>
            <w:webHidden/>
          </w:rPr>
        </w:r>
        <w:r w:rsidR="00FD21C8">
          <w:rPr>
            <w:webHidden/>
          </w:rPr>
          <w:fldChar w:fldCharType="separate"/>
        </w:r>
        <w:r w:rsidR="003948D2">
          <w:rPr>
            <w:webHidden/>
          </w:rPr>
          <w:t>25</w:t>
        </w:r>
        <w:r w:rsidR="00FD21C8">
          <w:rPr>
            <w:webHidden/>
          </w:rPr>
          <w:fldChar w:fldCharType="end"/>
        </w:r>
      </w:hyperlink>
    </w:p>
    <w:p w14:paraId="636577A2" w14:textId="299E4F32" w:rsidR="00FD21C8" w:rsidRDefault="00735AC9">
      <w:pPr>
        <w:pStyle w:val="TOC1"/>
        <w:tabs>
          <w:tab w:val="left" w:pos="1320"/>
        </w:tabs>
        <w:rPr>
          <w:rFonts w:asciiTheme="minorHAnsi" w:eastAsiaTheme="minorEastAsia" w:hAnsiTheme="minorHAnsi" w:cstheme="minorBidi"/>
          <w:kern w:val="2"/>
          <w:sz w:val="22"/>
          <w:szCs w:val="22"/>
          <w:lang w:eastAsia="en-AU"/>
          <w14:ligatures w14:val="standardContextual"/>
        </w:rPr>
      </w:pPr>
      <w:hyperlink w:anchor="_Toc165390915" w:history="1">
        <w:r w:rsidR="00FD21C8" w:rsidRPr="0024019F">
          <w:rPr>
            <w:rStyle w:val="Hyperlink"/>
          </w:rPr>
          <w:t>Appendix D</w:t>
        </w:r>
        <w:r w:rsidR="00FD21C8">
          <w:rPr>
            <w:rFonts w:asciiTheme="minorHAnsi" w:eastAsiaTheme="minorEastAsia" w:hAnsiTheme="minorHAnsi" w:cstheme="minorBidi"/>
            <w:kern w:val="2"/>
            <w:sz w:val="22"/>
            <w:szCs w:val="22"/>
            <w:lang w:eastAsia="en-AU"/>
            <w14:ligatures w14:val="standardContextual"/>
          </w:rPr>
          <w:tab/>
        </w:r>
        <w:r w:rsidR="00FD21C8" w:rsidRPr="0024019F">
          <w:rPr>
            <w:rStyle w:val="Hyperlink"/>
          </w:rPr>
          <w:t>Non-quantified impacts</w:t>
        </w:r>
        <w:r w:rsidR="00FD21C8">
          <w:rPr>
            <w:webHidden/>
          </w:rPr>
          <w:tab/>
        </w:r>
        <w:r w:rsidR="00FD21C8">
          <w:rPr>
            <w:webHidden/>
          </w:rPr>
          <w:fldChar w:fldCharType="begin"/>
        </w:r>
        <w:r w:rsidR="00FD21C8">
          <w:rPr>
            <w:webHidden/>
          </w:rPr>
          <w:instrText xml:space="preserve"> PAGEREF _Toc165390915 \h </w:instrText>
        </w:r>
        <w:r w:rsidR="00FD21C8">
          <w:rPr>
            <w:webHidden/>
          </w:rPr>
        </w:r>
        <w:r w:rsidR="00FD21C8">
          <w:rPr>
            <w:webHidden/>
          </w:rPr>
          <w:fldChar w:fldCharType="separate"/>
        </w:r>
        <w:r w:rsidR="003948D2">
          <w:rPr>
            <w:webHidden/>
          </w:rPr>
          <w:t>28</w:t>
        </w:r>
        <w:r w:rsidR="00FD21C8">
          <w:rPr>
            <w:webHidden/>
          </w:rPr>
          <w:fldChar w:fldCharType="end"/>
        </w:r>
      </w:hyperlink>
    </w:p>
    <w:p w14:paraId="46AB7757" w14:textId="7248B7C0" w:rsidR="00FD21C8" w:rsidRDefault="00735AC9">
      <w:pPr>
        <w:pStyle w:val="TOC1"/>
        <w:tabs>
          <w:tab w:val="left" w:pos="1320"/>
        </w:tabs>
        <w:rPr>
          <w:rFonts w:asciiTheme="minorHAnsi" w:eastAsiaTheme="minorEastAsia" w:hAnsiTheme="minorHAnsi" w:cstheme="minorBidi"/>
          <w:kern w:val="2"/>
          <w:sz w:val="22"/>
          <w:szCs w:val="22"/>
          <w:lang w:eastAsia="en-AU"/>
          <w14:ligatures w14:val="standardContextual"/>
        </w:rPr>
      </w:pPr>
      <w:hyperlink w:anchor="_Toc165390916" w:history="1">
        <w:r w:rsidR="00FD21C8" w:rsidRPr="0024019F">
          <w:rPr>
            <w:rStyle w:val="Hyperlink"/>
          </w:rPr>
          <w:t>Appendix E</w:t>
        </w:r>
        <w:r w:rsidR="00FD21C8">
          <w:rPr>
            <w:rFonts w:asciiTheme="minorHAnsi" w:eastAsiaTheme="minorEastAsia" w:hAnsiTheme="minorHAnsi" w:cstheme="minorBidi"/>
            <w:kern w:val="2"/>
            <w:sz w:val="22"/>
            <w:szCs w:val="22"/>
            <w:lang w:eastAsia="en-AU"/>
            <w14:ligatures w14:val="standardContextual"/>
          </w:rPr>
          <w:tab/>
        </w:r>
        <w:r w:rsidR="00FD21C8" w:rsidRPr="0024019F">
          <w:rPr>
            <w:rStyle w:val="Hyperlink"/>
          </w:rPr>
          <w:t>References</w:t>
        </w:r>
        <w:r w:rsidR="00FD21C8">
          <w:rPr>
            <w:webHidden/>
          </w:rPr>
          <w:tab/>
        </w:r>
        <w:r w:rsidR="00FD21C8">
          <w:rPr>
            <w:webHidden/>
          </w:rPr>
          <w:fldChar w:fldCharType="begin"/>
        </w:r>
        <w:r w:rsidR="00FD21C8">
          <w:rPr>
            <w:webHidden/>
          </w:rPr>
          <w:instrText xml:space="preserve"> PAGEREF _Toc165390916 \h </w:instrText>
        </w:r>
        <w:r w:rsidR="00FD21C8">
          <w:rPr>
            <w:webHidden/>
          </w:rPr>
        </w:r>
        <w:r w:rsidR="00FD21C8">
          <w:rPr>
            <w:webHidden/>
          </w:rPr>
          <w:fldChar w:fldCharType="separate"/>
        </w:r>
        <w:r w:rsidR="003948D2">
          <w:rPr>
            <w:webHidden/>
          </w:rPr>
          <w:t>31</w:t>
        </w:r>
        <w:r w:rsidR="00FD21C8">
          <w:rPr>
            <w:webHidden/>
          </w:rPr>
          <w:fldChar w:fldCharType="end"/>
        </w:r>
      </w:hyperlink>
    </w:p>
    <w:p w14:paraId="787FDFDD" w14:textId="3B0E1741" w:rsidR="00477AFA" w:rsidRDefault="00477AFA" w:rsidP="00477AFA">
      <w:pPr>
        <w:sectPr w:rsidR="00477AFA">
          <w:headerReference w:type="even" r:id="rId15"/>
          <w:headerReference w:type="default" r:id="rId16"/>
          <w:footerReference w:type="default" r:id="rId17"/>
          <w:pgSz w:w="11909" w:h="16834" w:code="9"/>
          <w:pgMar w:top="1440" w:right="1440" w:bottom="1440" w:left="1440" w:header="720" w:footer="720" w:gutter="0"/>
          <w:pgNumType w:fmt="lowerRoman" w:start="1"/>
          <w:cols w:space="720"/>
          <w:docGrid w:linePitch="360"/>
        </w:sectPr>
      </w:pPr>
      <w:r w:rsidRPr="000E4204">
        <w:rPr>
          <w:rFonts w:ascii="Roboto Medium" w:hAnsi="Roboto Medium"/>
        </w:rPr>
        <w:fldChar w:fldCharType="end"/>
      </w:r>
    </w:p>
    <w:p w14:paraId="51C30E5B" w14:textId="715FE56E" w:rsidR="00D6420B" w:rsidRDefault="00D6420B" w:rsidP="001B3530">
      <w:pPr>
        <w:pStyle w:val="EYHeading1"/>
      </w:pPr>
      <w:bookmarkStart w:id="2" w:name="_Toc165390899"/>
      <w:r>
        <w:lastRenderedPageBreak/>
        <w:t>Key findings</w:t>
      </w:r>
      <w:bookmarkEnd w:id="2"/>
    </w:p>
    <w:p w14:paraId="634FC0E0" w14:textId="77777777" w:rsidR="006701F5" w:rsidRPr="006701F5" w:rsidRDefault="006701F5" w:rsidP="005E4AE2">
      <w:pPr>
        <w:pStyle w:val="EYBodytextwithparaspace"/>
        <w:numPr>
          <w:ilvl w:val="0"/>
          <w:numId w:val="44"/>
        </w:numPr>
        <w:spacing w:after="120"/>
        <w:ind w:left="357" w:hanging="357"/>
      </w:pPr>
      <w:r w:rsidRPr="006701F5">
        <w:rPr>
          <w:b/>
          <w:bCs/>
        </w:rPr>
        <w:t xml:space="preserve">Children with disability are disproportionately represented in school suspensions in Queensland and across Australia. Data suggests this affects children across all school years, starting from kindergarten and primary school up to the end of secondary school. </w:t>
      </w:r>
    </w:p>
    <w:p w14:paraId="05A73602" w14:textId="77777777" w:rsidR="006701F5" w:rsidRPr="006701F5" w:rsidRDefault="006701F5" w:rsidP="005E4AE2">
      <w:pPr>
        <w:pStyle w:val="EYBodytextwithparaspace"/>
        <w:numPr>
          <w:ilvl w:val="1"/>
          <w:numId w:val="44"/>
        </w:numPr>
        <w:spacing w:after="120"/>
        <w:ind w:left="714" w:hanging="357"/>
      </w:pPr>
      <w:r w:rsidRPr="006701F5">
        <w:t>13.9% of Queensland children with NCCD status (16,154 students) had short suspensions compared to 6.9% of the overall child population in 2022.</w:t>
      </w:r>
    </w:p>
    <w:p w14:paraId="7ACF9C07" w14:textId="2EB54A93" w:rsidR="006701F5" w:rsidRPr="006701F5" w:rsidRDefault="006701F5" w:rsidP="005E4AE2">
      <w:pPr>
        <w:pStyle w:val="EYBodytextwithparaspace"/>
        <w:numPr>
          <w:ilvl w:val="1"/>
          <w:numId w:val="44"/>
        </w:numPr>
        <w:spacing w:after="120"/>
        <w:ind w:left="714" w:hanging="357"/>
      </w:pPr>
      <w:r w:rsidRPr="006701F5">
        <w:t>NSW Department of Education statistics suggest that the difference in suspension rates for children with disability relative to other children exists across all school years, and that it is particularly high in the primary school years.</w:t>
      </w:r>
      <w:r w:rsidR="00241BC7">
        <w:t xml:space="preserve"> </w:t>
      </w:r>
      <w:r w:rsidRPr="006701F5">
        <w:t xml:space="preserve">In Semester 1, 2021, 2.5% of children with NCCD disability status in years K-2 and 5.0% of children with NCCD status in years 3-6 received short suspensions, compared to 0.5% of all children in years K-2 and 1.3% of all children in years 3-6. </w:t>
      </w:r>
    </w:p>
    <w:p w14:paraId="09A1A651" w14:textId="77777777" w:rsidR="006701F5" w:rsidRPr="006701F5" w:rsidRDefault="006701F5" w:rsidP="005E4AE2">
      <w:pPr>
        <w:pStyle w:val="EYBodytextwithparaspace"/>
        <w:numPr>
          <w:ilvl w:val="1"/>
          <w:numId w:val="44"/>
        </w:numPr>
        <w:spacing w:after="120"/>
        <w:ind w:left="714" w:hanging="357"/>
      </w:pPr>
      <w:r w:rsidRPr="006701F5">
        <w:t>NDIS participant outcome statistics suggest that suspensions accumulate for children with disability across their schooling period. Around 26% of surveyed NDIS participants had been ever suspended from school by year 10, with 18% ever suspended by Year 6.</w:t>
      </w:r>
    </w:p>
    <w:p w14:paraId="197628F3" w14:textId="77777777" w:rsidR="006701F5" w:rsidRPr="006701F5" w:rsidRDefault="006701F5" w:rsidP="005E4AE2">
      <w:pPr>
        <w:pStyle w:val="EYBodytextwithparaspace"/>
        <w:numPr>
          <w:ilvl w:val="0"/>
          <w:numId w:val="44"/>
        </w:numPr>
        <w:spacing w:after="120"/>
      </w:pPr>
      <w:r w:rsidRPr="006701F5">
        <w:rPr>
          <w:b/>
          <w:bCs/>
        </w:rPr>
        <w:t>Suspensions and exclusions have adverse impacts on the mental health and wellbeing of children and young people with disability.</w:t>
      </w:r>
      <w:r w:rsidRPr="006701F5">
        <w:t xml:space="preserve"> </w:t>
      </w:r>
      <w:r w:rsidRPr="006701F5">
        <w:br/>
      </w:r>
      <w:proofErr w:type="gramStart"/>
      <w:r w:rsidRPr="006701F5">
        <w:t>A number of</w:t>
      </w:r>
      <w:proofErr w:type="gramEnd"/>
      <w:r w:rsidRPr="006701F5">
        <w:t xml:space="preserve"> studies drew on interviews and surveys of students who had been suspended to highlight that children and young people reported feeling increased levels of anxiety and depression as a result of social humiliation and isolation due to exclusion and suspension. The Disability Royal Commission’s report into inclusive education highlighted that “students subject to multiple suspensions can be at heightened risk of complete disengagement from education”.</w:t>
      </w:r>
    </w:p>
    <w:p w14:paraId="650DBC9B" w14:textId="0009D3A5" w:rsidR="006701F5" w:rsidRPr="006701F5" w:rsidRDefault="006701F5" w:rsidP="005E4AE2">
      <w:pPr>
        <w:pStyle w:val="EYBodytextwithparaspace"/>
        <w:numPr>
          <w:ilvl w:val="0"/>
          <w:numId w:val="44"/>
        </w:numPr>
        <w:spacing w:after="120"/>
      </w:pPr>
      <w:r w:rsidRPr="006701F5">
        <w:rPr>
          <w:b/>
          <w:bCs/>
        </w:rPr>
        <w:t>Suspensions and exclusions can also negatively impact the employment of parents/carers, classroom teaching and wellbeing of teachers, and draw on limited school resources.</w:t>
      </w:r>
      <w:r w:rsidRPr="006701F5">
        <w:br/>
        <w:t>Studies highlighted that parents and carers face challenges in maintaining employment while supporting suspended children at home</w:t>
      </w:r>
      <w:r w:rsidR="008B0CA1">
        <w:t xml:space="preserve">. </w:t>
      </w:r>
      <w:r w:rsidR="008B0CA1" w:rsidRPr="008B0CA1">
        <w:t>Children with disability are more likely to come from sole parent households where these financial impacts can be even more acute.</w:t>
      </w:r>
      <w:r w:rsidRPr="006701F5">
        <w:t xml:space="preserve"> </w:t>
      </w:r>
      <w:r w:rsidR="008B0CA1">
        <w:t xml:space="preserve">Other studies </w:t>
      </w:r>
      <w:r w:rsidRPr="006701F5">
        <w:t>highlighted the adverse impact on the time teachers have available to instruct classrooms, as well as their own health and wellbeing if they are insufficiently supported. Additional school resources are spent on responding to suspensions and subsequent behaviour management strategies.</w:t>
      </w:r>
    </w:p>
    <w:p w14:paraId="5B096757" w14:textId="2CDD541B" w:rsidR="006701F5" w:rsidRPr="006701F5" w:rsidRDefault="006701F5" w:rsidP="005E4AE2">
      <w:pPr>
        <w:pStyle w:val="EYBodytextwithparaspace"/>
        <w:numPr>
          <w:ilvl w:val="0"/>
          <w:numId w:val="44"/>
        </w:numPr>
        <w:spacing w:after="120"/>
      </w:pPr>
      <w:r w:rsidRPr="006701F5">
        <w:rPr>
          <w:b/>
          <w:bCs/>
        </w:rPr>
        <w:t xml:space="preserve">Research in Australia and overseas suggests suspensions have a negative association with subsequent youth offending and educational attainment. </w:t>
      </w:r>
      <w:r w:rsidRPr="006701F5">
        <w:t>Assuming these impacts are similar for children with disability,</w:t>
      </w:r>
      <w:r w:rsidRPr="006701F5">
        <w:rPr>
          <w:b/>
          <w:bCs/>
        </w:rPr>
        <w:t xml:space="preserve"> </w:t>
      </w:r>
      <w:r w:rsidRPr="006701F5">
        <w:t>we estimated that for the 16,1</w:t>
      </w:r>
      <w:r w:rsidR="001531AE">
        <w:t>18</w:t>
      </w:r>
      <w:r w:rsidRPr="006701F5">
        <w:t xml:space="preserve"> Queensland students with NCCD status </w:t>
      </w:r>
      <w:r w:rsidR="001531AE">
        <w:t xml:space="preserve">expected to be </w:t>
      </w:r>
      <w:r w:rsidRPr="006701F5">
        <w:t>suspended in 202</w:t>
      </w:r>
      <w:r w:rsidR="001531AE">
        <w:t>3</w:t>
      </w:r>
      <w:r w:rsidRPr="006701F5">
        <w:t>:</w:t>
      </w:r>
    </w:p>
    <w:p w14:paraId="12CE5710" w14:textId="66B47571" w:rsidR="006701F5" w:rsidRPr="006701F5" w:rsidRDefault="006701F5" w:rsidP="00F66C6F">
      <w:pPr>
        <w:pStyle w:val="EYBodytextwithparaspace"/>
        <w:numPr>
          <w:ilvl w:val="1"/>
          <w:numId w:val="44"/>
        </w:numPr>
        <w:spacing w:after="60"/>
        <w:ind w:left="714" w:hanging="357"/>
      </w:pPr>
      <w:r w:rsidRPr="006701F5">
        <w:rPr>
          <w:b/>
          <w:bCs/>
        </w:rPr>
        <w:t xml:space="preserve">An estimated 2,900 will not achieve </w:t>
      </w:r>
      <w:r w:rsidR="003C429E">
        <w:rPr>
          <w:b/>
          <w:bCs/>
        </w:rPr>
        <w:t>Y</w:t>
      </w:r>
      <w:r w:rsidRPr="006701F5">
        <w:rPr>
          <w:b/>
          <w:bCs/>
        </w:rPr>
        <w:t>ear 12 educational levels</w:t>
      </w:r>
      <w:r w:rsidRPr="006701F5">
        <w:t xml:space="preserve"> </w:t>
      </w:r>
      <w:r w:rsidR="00FD33B1">
        <w:t xml:space="preserve">due to </w:t>
      </w:r>
      <w:r w:rsidR="006853C9">
        <w:t xml:space="preserve">the impact of school disengagement </w:t>
      </w:r>
    </w:p>
    <w:p w14:paraId="10EECE37" w14:textId="77777777" w:rsidR="006701F5" w:rsidRPr="006701F5" w:rsidRDefault="006701F5" w:rsidP="00F66C6F">
      <w:pPr>
        <w:pStyle w:val="EYBodytextwithparaspace"/>
        <w:numPr>
          <w:ilvl w:val="1"/>
          <w:numId w:val="44"/>
        </w:numPr>
        <w:spacing w:after="60"/>
        <w:ind w:left="714" w:hanging="357"/>
      </w:pPr>
      <w:r w:rsidRPr="006701F5">
        <w:rPr>
          <w:b/>
          <w:bCs/>
        </w:rPr>
        <w:t>An estimated 310 will have Youth Justice involvement by age 18</w:t>
      </w:r>
      <w:r w:rsidRPr="006701F5">
        <w:t>, including up to 160 with Youth Justice detention orders</w:t>
      </w:r>
    </w:p>
    <w:p w14:paraId="3469DFCF" w14:textId="77777777" w:rsidR="006701F5" w:rsidRPr="006701F5" w:rsidRDefault="006701F5" w:rsidP="00070BFF">
      <w:pPr>
        <w:pStyle w:val="EYBodytextwithparaspace"/>
        <w:numPr>
          <w:ilvl w:val="0"/>
          <w:numId w:val="44"/>
        </w:numPr>
        <w:spacing w:before="120" w:after="120"/>
        <w:ind w:left="357" w:hanging="357"/>
      </w:pPr>
      <w:r w:rsidRPr="006701F5">
        <w:rPr>
          <w:b/>
          <w:bCs/>
        </w:rPr>
        <w:t xml:space="preserve">Youth offending and education impacts have immediate and </w:t>
      </w:r>
      <w:proofErr w:type="gramStart"/>
      <w:r w:rsidRPr="006701F5">
        <w:rPr>
          <w:b/>
          <w:bCs/>
        </w:rPr>
        <w:t>longer term</w:t>
      </w:r>
      <w:proofErr w:type="gramEnd"/>
      <w:r w:rsidRPr="006701F5">
        <w:rPr>
          <w:b/>
          <w:bCs/>
        </w:rPr>
        <w:t xml:space="preserve"> economic costs. </w:t>
      </w:r>
      <w:r w:rsidRPr="006701F5">
        <w:rPr>
          <w:b/>
          <w:bCs/>
        </w:rPr>
        <w:br/>
        <w:t>For school aged students,</w:t>
      </w:r>
      <w:r w:rsidRPr="006701F5">
        <w:t xml:space="preserve"> </w:t>
      </w:r>
      <w:r w:rsidRPr="006701F5">
        <w:rPr>
          <w:b/>
          <w:bCs/>
        </w:rPr>
        <w:t>impacts attributed to suspensions and school disengagement are associated with estimated costs of up to $20-24m per year</w:t>
      </w:r>
      <w:r w:rsidRPr="006701F5">
        <w:t>:</w:t>
      </w:r>
    </w:p>
    <w:p w14:paraId="5CBBDB25" w14:textId="77777777" w:rsidR="006701F5" w:rsidRPr="006701F5" w:rsidRDefault="006701F5" w:rsidP="00070BFF">
      <w:pPr>
        <w:pStyle w:val="EYBodytextwithparaspace"/>
        <w:numPr>
          <w:ilvl w:val="1"/>
          <w:numId w:val="44"/>
        </w:numPr>
        <w:spacing w:after="0"/>
        <w:ind w:left="714" w:hanging="357"/>
      </w:pPr>
      <w:r w:rsidRPr="006701F5">
        <w:t>An estimated $14.1m in lost family income per year</w:t>
      </w:r>
    </w:p>
    <w:p w14:paraId="2DD2F734" w14:textId="77777777" w:rsidR="006701F5" w:rsidRPr="006701F5" w:rsidRDefault="006701F5" w:rsidP="00070BFF">
      <w:pPr>
        <w:pStyle w:val="EYBodytextwithparaspace"/>
        <w:numPr>
          <w:ilvl w:val="1"/>
          <w:numId w:val="44"/>
        </w:numPr>
        <w:spacing w:after="0"/>
        <w:ind w:left="714" w:hanging="357"/>
      </w:pPr>
      <w:r w:rsidRPr="006701F5">
        <w:t>An estimated $5.5-10.0m in Youth Justice system costs per year</w:t>
      </w:r>
    </w:p>
    <w:p w14:paraId="11625ACA" w14:textId="5644694E" w:rsidR="006701F5" w:rsidRPr="006701F5" w:rsidRDefault="006701F5" w:rsidP="00F66C6F">
      <w:pPr>
        <w:pStyle w:val="EYBodytextwithparaspace"/>
        <w:spacing w:before="120" w:after="120"/>
      </w:pPr>
      <w:r w:rsidRPr="006701F5">
        <w:rPr>
          <w:b/>
          <w:bCs/>
        </w:rPr>
        <w:t>In the longer run, we estimated an</w:t>
      </w:r>
      <w:r w:rsidRPr="006701F5">
        <w:t xml:space="preserve"> </w:t>
      </w:r>
      <w:r w:rsidRPr="006701F5">
        <w:rPr>
          <w:b/>
          <w:bCs/>
        </w:rPr>
        <w:t>average annual income gap of around $41m per year</w:t>
      </w:r>
      <w:r w:rsidRPr="006701F5">
        <w:t xml:space="preserve"> for students with disability and suspensions not attaining year 12 educational levels. Research indicates that education is strongly associated with subsequent employment and income rates across the adult life course.</w:t>
      </w:r>
      <w:r w:rsidRPr="006701F5">
        <w:br/>
        <w:t>Studies suggest the potential for longer term impacts in other life course domains including increased likelihood of adult criminal justice system contact and adverse health and wellbeing impacts from reduced income and employment.</w:t>
      </w:r>
    </w:p>
    <w:p w14:paraId="0541A325" w14:textId="1FD5C6A2" w:rsidR="006701F5" w:rsidRPr="00FD21C8" w:rsidRDefault="006701F5" w:rsidP="00FD21C8">
      <w:pPr>
        <w:pStyle w:val="EYBodytextwithoutparaspace"/>
        <w:rPr>
          <w:i/>
          <w:iCs/>
        </w:rPr>
      </w:pPr>
      <w:r w:rsidRPr="00FD21C8">
        <w:rPr>
          <w:i/>
          <w:iCs/>
        </w:rPr>
        <w:lastRenderedPageBreak/>
        <w:t>Key sources:</w:t>
      </w:r>
    </w:p>
    <w:p w14:paraId="421C78EA" w14:textId="77777777" w:rsidR="006701F5" w:rsidRPr="00FD21C8" w:rsidRDefault="006701F5" w:rsidP="00FD21C8">
      <w:pPr>
        <w:pStyle w:val="EYBodytextwithoutparaspace"/>
        <w:rPr>
          <w:i/>
          <w:iCs/>
        </w:rPr>
      </w:pPr>
      <w:r w:rsidRPr="00FD21C8">
        <w:rPr>
          <w:i/>
          <w:iCs/>
        </w:rPr>
        <w:t>1a. Queensland Department of Education statistics on suspensions, exclusions and cancellations for student categories, provided to QAI</w:t>
      </w:r>
    </w:p>
    <w:p w14:paraId="595784DE" w14:textId="77777777" w:rsidR="006701F5" w:rsidRPr="00FD21C8" w:rsidRDefault="006701F5" w:rsidP="00FD21C8">
      <w:pPr>
        <w:pStyle w:val="EYBodytextwithoutparaspace"/>
        <w:rPr>
          <w:i/>
          <w:iCs/>
        </w:rPr>
      </w:pPr>
      <w:r w:rsidRPr="00FD21C8">
        <w:rPr>
          <w:i/>
          <w:iCs/>
        </w:rPr>
        <w:t xml:space="preserve">1b. NSW Department of Education (2021). Suspensions and Expulsions Semester 1 2017–2021. Sourced from </w:t>
      </w:r>
      <w:hyperlink r:id="rId18" w:history="1">
        <w:r w:rsidRPr="00FD21C8">
          <w:rPr>
            <w:rStyle w:val="Hyperlink"/>
            <w:i/>
            <w:iCs/>
          </w:rPr>
          <w:t>https://data.cese.nsw.gov.au/data/dataset/c0a90a6f-2509-45c5-ba77-cf5b00350043/resource/7d039678-7527-4744-93a5-e162aa74de11/download/2021_suspension-and-expulsion-factsheet_vr_v2_aa.pdf</w:t>
        </w:r>
      </w:hyperlink>
      <w:r w:rsidRPr="00FD21C8">
        <w:rPr>
          <w:i/>
          <w:iCs/>
        </w:rPr>
        <w:t>.</w:t>
      </w:r>
    </w:p>
    <w:p w14:paraId="0D912D04" w14:textId="77777777" w:rsidR="006701F5" w:rsidRPr="00FD21C8" w:rsidRDefault="006701F5" w:rsidP="00FD21C8">
      <w:pPr>
        <w:pStyle w:val="EYBodytextwithoutparaspace"/>
        <w:rPr>
          <w:i/>
          <w:iCs/>
        </w:rPr>
      </w:pPr>
      <w:r w:rsidRPr="00FD21C8">
        <w:rPr>
          <w:i/>
          <w:iCs/>
        </w:rPr>
        <w:t xml:space="preserve">1c. National Disability Insurance Agency (2021). NDIS Participant Outcomes 30 June 2020: Baseline participant outcomes for ages 0-14 report. Sourced from </w:t>
      </w:r>
      <w:hyperlink r:id="rId19" w:history="1">
        <w:r w:rsidRPr="00FD21C8">
          <w:rPr>
            <w:rStyle w:val="Hyperlink"/>
            <w:i/>
            <w:iCs/>
          </w:rPr>
          <w:t>https://data.ndis.gov.au/media/2526/download?attachment</w:t>
        </w:r>
      </w:hyperlink>
      <w:r w:rsidRPr="00FD21C8">
        <w:rPr>
          <w:i/>
          <w:iCs/>
        </w:rPr>
        <w:t>.</w:t>
      </w:r>
    </w:p>
    <w:p w14:paraId="1578A94E" w14:textId="19E3A2B7" w:rsidR="006701F5" w:rsidRPr="00FD21C8" w:rsidRDefault="006701F5" w:rsidP="00FD21C8">
      <w:pPr>
        <w:pStyle w:val="EYBodytextwithoutparaspace"/>
        <w:rPr>
          <w:i/>
          <w:iCs/>
        </w:rPr>
      </w:pPr>
      <w:r w:rsidRPr="00FD21C8">
        <w:rPr>
          <w:i/>
          <w:iCs/>
        </w:rPr>
        <w:t>2. – Key sources outlined in section 3 of this document</w:t>
      </w:r>
    </w:p>
    <w:p w14:paraId="2F3CCBF6" w14:textId="7349869B" w:rsidR="008B0CA1" w:rsidRPr="00FD21C8" w:rsidRDefault="008B0CA1" w:rsidP="00FD21C8">
      <w:pPr>
        <w:pStyle w:val="EYBodytextwithoutparaspace"/>
        <w:rPr>
          <w:i/>
          <w:iCs/>
        </w:rPr>
      </w:pPr>
      <w:r w:rsidRPr="00FD21C8">
        <w:rPr>
          <w:i/>
          <w:iCs/>
        </w:rPr>
        <w:t xml:space="preserve">3 - </w:t>
      </w:r>
      <w:r w:rsidR="00F66C6F" w:rsidRPr="00FD21C8">
        <w:rPr>
          <w:i/>
          <w:iCs/>
        </w:rPr>
        <w:t xml:space="preserve">Australian Institute of Health and Welfare (2024) People with disability in Australia. Income Table INCM19. </w:t>
      </w:r>
      <w:r w:rsidRPr="00FD21C8">
        <w:rPr>
          <w:i/>
          <w:iCs/>
        </w:rPr>
        <w:t>Key sources outlined in section 3 of this document</w:t>
      </w:r>
    </w:p>
    <w:p w14:paraId="6425CEB3" w14:textId="5103C750" w:rsidR="006701F5" w:rsidRPr="00FD21C8" w:rsidRDefault="006701F5" w:rsidP="00FD21C8">
      <w:pPr>
        <w:pStyle w:val="EYBodytextwithoutparaspace"/>
        <w:rPr>
          <w:i/>
          <w:iCs/>
        </w:rPr>
      </w:pPr>
      <w:r w:rsidRPr="00FD21C8">
        <w:rPr>
          <w:i/>
          <w:iCs/>
        </w:rPr>
        <w:t>4, 5. – Key sources outlined in section 4 of this document</w:t>
      </w:r>
    </w:p>
    <w:p w14:paraId="5CBC272E" w14:textId="554EF969" w:rsidR="00477AFA" w:rsidRPr="001B3530" w:rsidRDefault="00F071CA" w:rsidP="001B3530">
      <w:pPr>
        <w:pStyle w:val="EYHeading1"/>
      </w:pPr>
      <w:bookmarkStart w:id="3" w:name="_Toc165390900"/>
      <w:r w:rsidRPr="001B3530">
        <w:lastRenderedPageBreak/>
        <w:t>Purpose</w:t>
      </w:r>
      <w:bookmarkEnd w:id="3"/>
    </w:p>
    <w:p w14:paraId="57C81AD5" w14:textId="64F64434" w:rsidR="001B3530" w:rsidRDefault="00A533AE" w:rsidP="001B3530">
      <w:pPr>
        <w:pStyle w:val="EYBodytextwithparaspace"/>
      </w:pPr>
      <w:r>
        <w:t xml:space="preserve">This </w:t>
      </w:r>
      <w:r w:rsidR="0040253A">
        <w:t xml:space="preserve">document </w:t>
      </w:r>
      <w:r w:rsidR="007B0F67">
        <w:t>detail</w:t>
      </w:r>
      <w:r>
        <w:t>s</w:t>
      </w:r>
      <w:r w:rsidR="007B0F67">
        <w:t xml:space="preserve"> the </w:t>
      </w:r>
      <w:r w:rsidR="00635F57">
        <w:t>approach and findings from</w:t>
      </w:r>
      <w:r w:rsidR="00FE59B3">
        <w:t xml:space="preserve"> </w:t>
      </w:r>
      <w:r w:rsidR="00D018D7">
        <w:t xml:space="preserve">for </w:t>
      </w:r>
      <w:r w:rsidR="00295C4D">
        <w:t xml:space="preserve">the modelling of economic costs associated with </w:t>
      </w:r>
      <w:r w:rsidR="0078114D">
        <w:t>suspensions of Queensland students with disability. K</w:t>
      </w:r>
      <w:r w:rsidR="00B10E80">
        <w:t>ey assumptions</w:t>
      </w:r>
      <w:r w:rsidR="0078114D">
        <w:t xml:space="preserve">, data sources and an overview of </w:t>
      </w:r>
      <w:r w:rsidR="00DA215E">
        <w:t xml:space="preserve">qualitative impacts </w:t>
      </w:r>
      <w:r w:rsidR="0078114D">
        <w:t xml:space="preserve">which were also considered </w:t>
      </w:r>
      <w:r w:rsidR="00C408AB">
        <w:t>are also outlined in this document</w:t>
      </w:r>
      <w:r w:rsidR="00DA215E">
        <w:t>.</w:t>
      </w:r>
    </w:p>
    <w:p w14:paraId="715C2D5F" w14:textId="7715BE3A" w:rsidR="00A853AC" w:rsidRDefault="00A853AC" w:rsidP="001B3530">
      <w:pPr>
        <w:pStyle w:val="EYHeading1"/>
        <w:pageBreakBefore w:val="0"/>
      </w:pPr>
      <w:bookmarkStart w:id="4" w:name="_Toc165390901"/>
      <w:r>
        <w:t xml:space="preserve">Glossary of </w:t>
      </w:r>
      <w:r w:rsidR="00AC1854">
        <w:t>t</w:t>
      </w:r>
      <w:r>
        <w:t>erms</w:t>
      </w:r>
      <w:bookmarkEnd w:id="4"/>
    </w:p>
    <w:tbl>
      <w:tblPr>
        <w:tblStyle w:val="TableGrid"/>
        <w:tblW w:w="5000" w:type="pct"/>
        <w:tblLook w:val="04A0" w:firstRow="1" w:lastRow="0" w:firstColumn="1" w:lastColumn="0" w:noHBand="0" w:noVBand="1"/>
      </w:tblPr>
      <w:tblGrid>
        <w:gridCol w:w="2547"/>
        <w:gridCol w:w="6472"/>
      </w:tblGrid>
      <w:tr w:rsidR="003835BE" w:rsidRPr="00193957" w14:paraId="1DFD9749" w14:textId="77777777" w:rsidTr="00E31E70">
        <w:tc>
          <w:tcPr>
            <w:tcW w:w="1412" w:type="pct"/>
            <w:shd w:val="clear" w:color="auto" w:fill="A6A6A6" w:themeFill="background1" w:themeFillShade="A6"/>
            <w:vAlign w:val="center"/>
          </w:tcPr>
          <w:p w14:paraId="598D0B8B" w14:textId="77777777" w:rsidR="003835BE" w:rsidRPr="00193957" w:rsidRDefault="003835BE" w:rsidP="00216B84">
            <w:pPr>
              <w:pStyle w:val="EYBodytextwithparaspace"/>
              <w:spacing w:before="120" w:after="120"/>
              <w:rPr>
                <w:b/>
                <w:bCs/>
                <w:color w:val="FFFFFF" w:themeColor="background1"/>
                <w:sz w:val="22"/>
                <w:szCs w:val="22"/>
              </w:rPr>
            </w:pPr>
            <w:r>
              <w:rPr>
                <w:b/>
                <w:bCs/>
                <w:color w:val="FFFFFF" w:themeColor="background1"/>
                <w:sz w:val="22"/>
                <w:szCs w:val="22"/>
              </w:rPr>
              <w:t>Term</w:t>
            </w:r>
          </w:p>
        </w:tc>
        <w:tc>
          <w:tcPr>
            <w:tcW w:w="3588" w:type="pct"/>
            <w:shd w:val="clear" w:color="auto" w:fill="A6A6A6" w:themeFill="background1" w:themeFillShade="A6"/>
            <w:vAlign w:val="center"/>
          </w:tcPr>
          <w:p w14:paraId="1300BA73" w14:textId="77777777" w:rsidR="003835BE" w:rsidRPr="00193957" w:rsidRDefault="003835BE" w:rsidP="00216B84">
            <w:pPr>
              <w:pStyle w:val="EYBodytextwithparaspace"/>
              <w:spacing w:before="120" w:after="120"/>
              <w:rPr>
                <w:b/>
                <w:bCs/>
                <w:color w:val="FFFFFF" w:themeColor="background1"/>
                <w:sz w:val="22"/>
                <w:szCs w:val="22"/>
              </w:rPr>
            </w:pPr>
            <w:r>
              <w:rPr>
                <w:b/>
                <w:bCs/>
                <w:color w:val="FFFFFF" w:themeColor="background1"/>
                <w:sz w:val="22"/>
                <w:szCs w:val="22"/>
              </w:rPr>
              <w:t>Definition</w:t>
            </w:r>
          </w:p>
        </w:tc>
      </w:tr>
      <w:tr w:rsidR="003835BE" w14:paraId="5752A57B" w14:textId="77777777" w:rsidTr="00E31E70">
        <w:tc>
          <w:tcPr>
            <w:tcW w:w="1412" w:type="pct"/>
            <w:vAlign w:val="center"/>
          </w:tcPr>
          <w:p w14:paraId="24A18644" w14:textId="77777777" w:rsidR="003835BE" w:rsidRDefault="003835BE" w:rsidP="00A853AC">
            <w:pPr>
              <w:pStyle w:val="EYBodytextwithparaspace"/>
              <w:spacing w:before="120" w:after="120"/>
            </w:pPr>
            <w:r>
              <w:t>Disability</w:t>
            </w:r>
          </w:p>
        </w:tc>
        <w:tc>
          <w:tcPr>
            <w:tcW w:w="3588" w:type="pct"/>
            <w:vAlign w:val="center"/>
          </w:tcPr>
          <w:p w14:paraId="63A8A1C3" w14:textId="77777777" w:rsidR="003835BE" w:rsidRDefault="003835BE" w:rsidP="00A853AC">
            <w:pPr>
              <w:pStyle w:val="EYBodytextwithparaspace"/>
              <w:spacing w:before="120" w:after="120"/>
            </w:pPr>
            <w:r>
              <w:t xml:space="preserve">Any limitation, restriction or impairment that has lasted, or is likely to last, for at least six months and restricts everyday activities. </w:t>
            </w:r>
          </w:p>
        </w:tc>
      </w:tr>
      <w:tr w:rsidR="008A260D" w14:paraId="01D42F3F" w14:textId="77777777" w:rsidTr="00E31E70">
        <w:tc>
          <w:tcPr>
            <w:tcW w:w="1412" w:type="pct"/>
            <w:vAlign w:val="center"/>
          </w:tcPr>
          <w:p w14:paraId="4D640952" w14:textId="1667FE5D" w:rsidR="008A260D" w:rsidRDefault="008A260D" w:rsidP="008A260D">
            <w:pPr>
              <w:pStyle w:val="EYBodytextwithparaspace"/>
              <w:spacing w:before="120" w:after="120"/>
            </w:pPr>
            <w:r>
              <w:t>Education Adjustment Program (EAP)</w:t>
            </w:r>
          </w:p>
        </w:tc>
        <w:tc>
          <w:tcPr>
            <w:tcW w:w="3588" w:type="pct"/>
            <w:vAlign w:val="center"/>
          </w:tcPr>
          <w:p w14:paraId="11C65C6B" w14:textId="3D173F5A" w:rsidR="008A260D" w:rsidRDefault="008A260D" w:rsidP="008A260D">
            <w:pPr>
              <w:pStyle w:val="EYBodytextwithparaspace"/>
              <w:spacing w:before="120" w:after="120"/>
            </w:pPr>
            <w:r>
              <w:t xml:space="preserve">A system used by </w:t>
            </w:r>
            <w:r w:rsidR="00E85C03">
              <w:t xml:space="preserve">Queensland </w:t>
            </w:r>
            <w:r>
              <w:t xml:space="preserve">schools to identify the educational adjustments provided for students with disabilities to meet their learning and access needs. </w:t>
            </w:r>
          </w:p>
        </w:tc>
      </w:tr>
      <w:tr w:rsidR="00E31E70" w14:paraId="5FCC6570" w14:textId="77777777" w:rsidTr="00E31E70">
        <w:tc>
          <w:tcPr>
            <w:tcW w:w="1412" w:type="pct"/>
            <w:vAlign w:val="center"/>
          </w:tcPr>
          <w:p w14:paraId="53307760" w14:textId="27045950" w:rsidR="00E31E70" w:rsidRDefault="00E31E70" w:rsidP="008A260D">
            <w:pPr>
              <w:pStyle w:val="EYBodytextwithparaspace"/>
              <w:spacing w:before="120" w:after="120"/>
            </w:pPr>
            <w:r>
              <w:t>Nationally Consistent Collection of Data (NCCD)</w:t>
            </w:r>
          </w:p>
        </w:tc>
        <w:tc>
          <w:tcPr>
            <w:tcW w:w="3588" w:type="pct"/>
            <w:vAlign w:val="center"/>
          </w:tcPr>
          <w:p w14:paraId="0560709A" w14:textId="2051513D" w:rsidR="00E31E70" w:rsidRDefault="00E31E70" w:rsidP="008A260D">
            <w:pPr>
              <w:pStyle w:val="EYBodytextwithparaspace"/>
              <w:spacing w:before="120" w:after="120"/>
            </w:pPr>
            <w:r>
              <w:t xml:space="preserve">A national </w:t>
            </w:r>
            <w:r w:rsidR="00064C5A">
              <w:t xml:space="preserve">definition of students with verified disability who </w:t>
            </w:r>
            <w:r>
              <w:t xml:space="preserve">are receiving </w:t>
            </w:r>
            <w:r w:rsidR="00E85C03">
              <w:t xml:space="preserve">schooling </w:t>
            </w:r>
            <w:r>
              <w:t>adjustments</w:t>
            </w:r>
            <w:r w:rsidR="00E85C03">
              <w:t>.</w:t>
            </w:r>
          </w:p>
        </w:tc>
      </w:tr>
      <w:tr w:rsidR="00B30EBB" w14:paraId="41F60A53" w14:textId="77777777" w:rsidTr="00E31E70">
        <w:tc>
          <w:tcPr>
            <w:tcW w:w="1412" w:type="pct"/>
            <w:vAlign w:val="center"/>
          </w:tcPr>
          <w:p w14:paraId="79FEBE39" w14:textId="341A0DEE" w:rsidR="00B30EBB" w:rsidRDefault="00B30EBB" w:rsidP="00B30EBB">
            <w:pPr>
              <w:pStyle w:val="EYBodytextwithparaspace"/>
              <w:spacing w:before="120" w:after="120"/>
            </w:pPr>
            <w:r>
              <w:t>Suspension</w:t>
            </w:r>
          </w:p>
        </w:tc>
        <w:tc>
          <w:tcPr>
            <w:tcW w:w="3588" w:type="pct"/>
            <w:vAlign w:val="center"/>
          </w:tcPr>
          <w:p w14:paraId="3CD4921C" w14:textId="7E311B6B" w:rsidR="00B30EBB" w:rsidRDefault="00B30EBB" w:rsidP="00B30EBB">
            <w:pPr>
              <w:pStyle w:val="EYBodytextwithparaspace"/>
              <w:spacing w:before="120" w:after="120"/>
            </w:pPr>
            <w:r>
              <w:t>Any disciplinary action that results in a student having to spend a period away from school.</w:t>
            </w:r>
            <w:r w:rsidR="00DB7FCA">
              <w:t xml:space="preserve"> It can either be a short (1-10 day) or long (11-20 day) suspension.</w:t>
            </w:r>
          </w:p>
        </w:tc>
      </w:tr>
      <w:tr w:rsidR="00B30EBB" w14:paraId="289C6BA9" w14:textId="77777777" w:rsidTr="00E31E70">
        <w:tc>
          <w:tcPr>
            <w:tcW w:w="1412" w:type="pct"/>
            <w:vAlign w:val="center"/>
          </w:tcPr>
          <w:p w14:paraId="020B8EEA" w14:textId="3B4C7907" w:rsidR="00B30EBB" w:rsidRDefault="00B30EBB" w:rsidP="00B30EBB">
            <w:pPr>
              <w:pStyle w:val="EYBodytextwithparaspace"/>
              <w:spacing w:before="120" w:after="120"/>
            </w:pPr>
            <w:r>
              <w:t>Expulsion</w:t>
            </w:r>
            <w:r w:rsidR="00D902C0">
              <w:t>/Exclusion</w:t>
            </w:r>
          </w:p>
        </w:tc>
        <w:tc>
          <w:tcPr>
            <w:tcW w:w="3588" w:type="pct"/>
            <w:vAlign w:val="center"/>
          </w:tcPr>
          <w:p w14:paraId="1076620E" w14:textId="4CC4F262" w:rsidR="00B30EBB" w:rsidRDefault="002341E1" w:rsidP="00B30EBB">
            <w:pPr>
              <w:pStyle w:val="EYBodytextwithparaspace"/>
              <w:spacing w:before="120" w:after="120"/>
            </w:pPr>
            <w:r>
              <w:t>A disciplinary action that involves un-enrolling a student from a school.</w:t>
            </w:r>
          </w:p>
        </w:tc>
      </w:tr>
      <w:tr w:rsidR="003835BE" w14:paraId="5F332501" w14:textId="77777777" w:rsidTr="00E31E70">
        <w:tc>
          <w:tcPr>
            <w:tcW w:w="1412" w:type="pct"/>
            <w:vAlign w:val="center"/>
          </w:tcPr>
          <w:p w14:paraId="18A35240" w14:textId="41AFD504" w:rsidR="003835BE" w:rsidRDefault="003835BE" w:rsidP="00A853AC">
            <w:pPr>
              <w:pStyle w:val="EYBodytextwithparaspace"/>
              <w:spacing w:before="120" w:after="120"/>
            </w:pPr>
            <w:r>
              <w:t xml:space="preserve">Early </w:t>
            </w:r>
            <w:r w:rsidR="00C408AB">
              <w:t>l</w:t>
            </w:r>
            <w:r>
              <w:t>eaver</w:t>
            </w:r>
          </w:p>
        </w:tc>
        <w:tc>
          <w:tcPr>
            <w:tcW w:w="3588" w:type="pct"/>
            <w:vAlign w:val="center"/>
          </w:tcPr>
          <w:p w14:paraId="4C9730AC" w14:textId="29C3D2ED" w:rsidR="003835BE" w:rsidRDefault="003835BE" w:rsidP="00A853AC">
            <w:pPr>
              <w:pStyle w:val="EYBodytextwithparaspace"/>
              <w:spacing w:before="120" w:after="120"/>
            </w:pPr>
            <w:r>
              <w:t>An individual who leaves school prior to completing Year 12. This covers both voluntary and forced leaving from school.</w:t>
            </w:r>
          </w:p>
        </w:tc>
      </w:tr>
      <w:tr w:rsidR="003835BE" w14:paraId="46941ADA" w14:textId="77777777" w:rsidTr="00E31E70">
        <w:tc>
          <w:tcPr>
            <w:tcW w:w="1412" w:type="pct"/>
            <w:tcBorders>
              <w:bottom w:val="single" w:sz="4" w:space="0" w:color="000000"/>
            </w:tcBorders>
            <w:vAlign w:val="center"/>
          </w:tcPr>
          <w:p w14:paraId="05DE394E" w14:textId="203BDB7B" w:rsidR="003835BE" w:rsidRDefault="00A25CE8" w:rsidP="00A853AC">
            <w:pPr>
              <w:pStyle w:val="EYBodytextwithparaspace"/>
              <w:spacing w:before="120" w:after="120"/>
            </w:pPr>
            <w:r>
              <w:t xml:space="preserve">Economic </w:t>
            </w:r>
            <w:r w:rsidR="00C408AB">
              <w:t>c</w:t>
            </w:r>
            <w:r>
              <w:t>ost</w:t>
            </w:r>
            <w:r w:rsidR="005503BD">
              <w:t>s</w:t>
            </w:r>
          </w:p>
        </w:tc>
        <w:tc>
          <w:tcPr>
            <w:tcW w:w="3588" w:type="pct"/>
            <w:tcBorders>
              <w:bottom w:val="single" w:sz="4" w:space="0" w:color="000000"/>
            </w:tcBorders>
            <w:vAlign w:val="center"/>
          </w:tcPr>
          <w:p w14:paraId="39492819" w14:textId="69881593" w:rsidR="003835BE" w:rsidRDefault="00847469" w:rsidP="00A853AC">
            <w:pPr>
              <w:pStyle w:val="EYBodytextwithparaspace"/>
              <w:spacing w:before="120" w:after="120"/>
            </w:pPr>
            <w:r>
              <w:t>Potential costs</w:t>
            </w:r>
            <w:r w:rsidR="00227BC1">
              <w:t xml:space="preserve"> attributed to </w:t>
            </w:r>
            <w:r w:rsidR="00634E22">
              <w:t xml:space="preserve">individual </w:t>
            </w:r>
            <w:r w:rsidR="00227BC1">
              <w:t>or government expenditure</w:t>
            </w:r>
            <w:r w:rsidR="0064183C">
              <w:t xml:space="preserve"> (i.e. </w:t>
            </w:r>
            <w:r w:rsidR="00D3320F">
              <w:t>loss of revenue</w:t>
            </w:r>
            <w:r w:rsidR="0064183C">
              <w:t xml:space="preserve"> or income).</w:t>
            </w:r>
          </w:p>
        </w:tc>
      </w:tr>
      <w:tr w:rsidR="00B30EBB" w14:paraId="4D86384F" w14:textId="77777777" w:rsidTr="00E31E70">
        <w:tc>
          <w:tcPr>
            <w:tcW w:w="1412" w:type="pct"/>
            <w:tcBorders>
              <w:bottom w:val="single" w:sz="4" w:space="0" w:color="000000"/>
            </w:tcBorders>
            <w:vAlign w:val="center"/>
          </w:tcPr>
          <w:p w14:paraId="3B82A9FD" w14:textId="78DD0669" w:rsidR="00B30EBB" w:rsidRDefault="00B30EBB" w:rsidP="00B30EBB">
            <w:pPr>
              <w:pStyle w:val="EYBodytextwithparaspace"/>
              <w:spacing w:before="120" w:after="120"/>
            </w:pPr>
            <w:r>
              <w:t xml:space="preserve">Social </w:t>
            </w:r>
            <w:r w:rsidR="00C408AB">
              <w:t>c</w:t>
            </w:r>
            <w:r>
              <w:t>osts</w:t>
            </w:r>
          </w:p>
        </w:tc>
        <w:tc>
          <w:tcPr>
            <w:tcW w:w="3588" w:type="pct"/>
            <w:tcBorders>
              <w:bottom w:val="single" w:sz="4" w:space="0" w:color="000000"/>
            </w:tcBorders>
            <w:vAlign w:val="center"/>
          </w:tcPr>
          <w:p w14:paraId="1EC02CDF" w14:textId="51484D8F" w:rsidR="00B30EBB" w:rsidRDefault="00847469" w:rsidP="00B30EBB">
            <w:pPr>
              <w:pStyle w:val="EYBodytextwithparaspace"/>
              <w:spacing w:before="120" w:after="120"/>
            </w:pPr>
            <w:r>
              <w:t xml:space="preserve">Potential </w:t>
            </w:r>
            <w:r w:rsidR="0064183C">
              <w:t xml:space="preserve">broader </w:t>
            </w:r>
            <w:r>
              <w:t xml:space="preserve">costs </w:t>
            </w:r>
            <w:r w:rsidR="00512390">
              <w:t>to</w:t>
            </w:r>
            <w:r w:rsidR="00B30EBB">
              <w:t xml:space="preserve"> society, for example, </w:t>
            </w:r>
            <w:r w:rsidR="00751F8C">
              <w:t>education</w:t>
            </w:r>
            <w:r w:rsidR="0064183C">
              <w:t xml:space="preserve"> levels</w:t>
            </w:r>
            <w:r w:rsidR="00751F8C">
              <w:t>, public safety</w:t>
            </w:r>
            <w:r w:rsidR="00A635EC">
              <w:t>,</w:t>
            </w:r>
            <w:r w:rsidR="00751F8C">
              <w:t xml:space="preserve"> and overall health of a population</w:t>
            </w:r>
            <w:r w:rsidR="0064183C">
              <w:t>.</w:t>
            </w:r>
          </w:p>
        </w:tc>
      </w:tr>
      <w:tr w:rsidR="003835BE" w14:paraId="241532DC" w14:textId="77777777" w:rsidTr="00E31E70">
        <w:tc>
          <w:tcPr>
            <w:tcW w:w="1412" w:type="pct"/>
            <w:vAlign w:val="center"/>
          </w:tcPr>
          <w:p w14:paraId="731DFE7A" w14:textId="388C6351" w:rsidR="003835BE" w:rsidRDefault="003835BE" w:rsidP="00A853AC">
            <w:pPr>
              <w:pStyle w:val="EYBodytextwithparaspace"/>
              <w:spacing w:before="120" w:after="120"/>
            </w:pPr>
            <w:r>
              <w:t>Long-term</w:t>
            </w:r>
            <w:r w:rsidR="009F20DC">
              <w:t xml:space="preserve"> </w:t>
            </w:r>
            <w:r w:rsidR="0064183C">
              <w:t>e</w:t>
            </w:r>
            <w:r w:rsidR="009F20DC">
              <w:t>conomic</w:t>
            </w:r>
            <w:r w:rsidR="00A25CE8">
              <w:t xml:space="preserve"> </w:t>
            </w:r>
            <w:r w:rsidR="0064183C">
              <w:t>i</w:t>
            </w:r>
            <w:r w:rsidR="00A25CE8">
              <w:t>mpacts</w:t>
            </w:r>
          </w:p>
        </w:tc>
        <w:tc>
          <w:tcPr>
            <w:tcW w:w="3588" w:type="pct"/>
            <w:vAlign w:val="center"/>
          </w:tcPr>
          <w:p w14:paraId="60B89411" w14:textId="55D30BF8" w:rsidR="003835BE" w:rsidRDefault="00D5477B" w:rsidP="00A853AC">
            <w:pPr>
              <w:pStyle w:val="EYBodytextwithparaspace"/>
              <w:spacing w:before="120" w:after="120"/>
            </w:pPr>
            <w:r>
              <w:t>Potential e</w:t>
            </w:r>
            <w:r w:rsidR="009F20DC">
              <w:t>conomic</w:t>
            </w:r>
            <w:r w:rsidR="00751F8C">
              <w:t xml:space="preserve"> cost</w:t>
            </w:r>
            <w:r w:rsidR="001978C4">
              <w:t>s</w:t>
            </w:r>
            <w:r w:rsidR="00751F8C">
              <w:t xml:space="preserve"> that </w:t>
            </w:r>
            <w:r w:rsidR="001978C4">
              <w:t>occur during adulthood.</w:t>
            </w:r>
          </w:p>
        </w:tc>
      </w:tr>
      <w:tr w:rsidR="003835BE" w14:paraId="23ABF4DD" w14:textId="77777777" w:rsidTr="00E31E70">
        <w:tc>
          <w:tcPr>
            <w:tcW w:w="1412" w:type="pct"/>
            <w:vAlign w:val="center"/>
          </w:tcPr>
          <w:p w14:paraId="4A267D81" w14:textId="0C643B70" w:rsidR="003835BE" w:rsidRDefault="003835BE" w:rsidP="00A853AC">
            <w:pPr>
              <w:pStyle w:val="EYBodytextwithparaspace"/>
              <w:spacing w:before="120" w:after="120"/>
            </w:pPr>
            <w:r>
              <w:t>Short-term</w:t>
            </w:r>
            <w:r w:rsidR="00A25CE8">
              <w:t xml:space="preserve"> </w:t>
            </w:r>
            <w:r w:rsidR="0064183C">
              <w:t>e</w:t>
            </w:r>
            <w:r w:rsidR="009F20DC">
              <w:t xml:space="preserve">conomic </w:t>
            </w:r>
            <w:r w:rsidR="0064183C">
              <w:t>i</w:t>
            </w:r>
            <w:r w:rsidR="00A25CE8">
              <w:t>mpacts</w:t>
            </w:r>
          </w:p>
        </w:tc>
        <w:tc>
          <w:tcPr>
            <w:tcW w:w="3588" w:type="pct"/>
            <w:vAlign w:val="center"/>
          </w:tcPr>
          <w:p w14:paraId="41A9A1AB" w14:textId="109214AF" w:rsidR="003835BE" w:rsidRDefault="00D5477B" w:rsidP="00A853AC">
            <w:pPr>
              <w:pStyle w:val="EYBodytextwithparaspace"/>
              <w:spacing w:before="120" w:after="120"/>
            </w:pPr>
            <w:r>
              <w:t>Potential e</w:t>
            </w:r>
            <w:r w:rsidR="006C1D68">
              <w:t xml:space="preserve">conomic costs </w:t>
            </w:r>
            <w:r w:rsidR="002F5273">
              <w:t xml:space="preserve">that </w:t>
            </w:r>
            <w:r w:rsidR="001978C4">
              <w:t>occur</w:t>
            </w:r>
            <w:r w:rsidR="002F5273">
              <w:t xml:space="preserve"> during </w:t>
            </w:r>
            <w:r w:rsidR="001978C4">
              <w:t>the schooling period.</w:t>
            </w:r>
            <w:r w:rsidR="002F5273">
              <w:t xml:space="preserve"> </w:t>
            </w:r>
          </w:p>
        </w:tc>
      </w:tr>
    </w:tbl>
    <w:p w14:paraId="2C103F15" w14:textId="45FDF99D" w:rsidR="000C38B5" w:rsidRDefault="000C38B5" w:rsidP="00A853AC">
      <w:pPr>
        <w:pStyle w:val="EYBodytextwithparaspace"/>
        <w:sectPr w:rsidR="000C38B5">
          <w:pgSz w:w="11909" w:h="16834" w:code="9"/>
          <w:pgMar w:top="1440" w:right="1440" w:bottom="1440" w:left="1440" w:header="720" w:footer="720" w:gutter="0"/>
          <w:pgNumType w:start="1"/>
          <w:cols w:space="720"/>
          <w:docGrid w:linePitch="360"/>
        </w:sectPr>
      </w:pPr>
    </w:p>
    <w:p w14:paraId="42F12D3E" w14:textId="1F007C1F" w:rsidR="00EC01FC" w:rsidRDefault="00EC01FC" w:rsidP="001B3530">
      <w:pPr>
        <w:pStyle w:val="EYHeading1"/>
        <w:pageBreakBefore w:val="0"/>
      </w:pPr>
      <w:bookmarkStart w:id="5" w:name="_Toc165390902"/>
      <w:r>
        <w:lastRenderedPageBreak/>
        <w:t xml:space="preserve">Modelling </w:t>
      </w:r>
      <w:r w:rsidR="00AC1854">
        <w:t>a</w:t>
      </w:r>
      <w:r>
        <w:t>pproach</w:t>
      </w:r>
      <w:bookmarkEnd w:id="5"/>
    </w:p>
    <w:p w14:paraId="776B82CD" w14:textId="64D53A8A" w:rsidR="00C27014" w:rsidRDefault="00EC01FC" w:rsidP="00EC01FC">
      <w:pPr>
        <w:pStyle w:val="EYBodytextwithparaspace"/>
      </w:pPr>
      <w:r>
        <w:t xml:space="preserve">Our modelling approach </w:t>
      </w:r>
      <w:r w:rsidR="00BA0940">
        <w:t>focuse</w:t>
      </w:r>
      <w:r w:rsidR="003A253D">
        <w:t>d</w:t>
      </w:r>
      <w:r w:rsidR="00BA0940">
        <w:t xml:space="preserve"> on quantifying</w:t>
      </w:r>
      <w:r w:rsidR="00C27014">
        <w:t>:</w:t>
      </w:r>
    </w:p>
    <w:p w14:paraId="048AECF8" w14:textId="77777777" w:rsidR="00C27014" w:rsidRPr="001C4272" w:rsidRDefault="00C27014" w:rsidP="00C27014">
      <w:pPr>
        <w:pStyle w:val="EYBulletedText1"/>
        <w:rPr>
          <w:b/>
          <w:bCs/>
        </w:rPr>
      </w:pPr>
      <w:r w:rsidRPr="001C4272">
        <w:rPr>
          <w:b/>
          <w:bCs/>
        </w:rPr>
        <w:t>T</w:t>
      </w:r>
      <w:r w:rsidR="00BA0940" w:rsidRPr="001C4272">
        <w:rPr>
          <w:b/>
          <w:bCs/>
        </w:rPr>
        <w:t>he</w:t>
      </w:r>
      <w:r w:rsidR="00EC01FC" w:rsidRPr="001C4272">
        <w:rPr>
          <w:b/>
        </w:rPr>
        <w:t xml:space="preserve"> cohort </w:t>
      </w:r>
      <w:r w:rsidR="00BA0940" w:rsidRPr="001C4272">
        <w:rPr>
          <w:b/>
          <w:bCs/>
        </w:rPr>
        <w:t xml:space="preserve">affected by </w:t>
      </w:r>
      <w:r w:rsidR="009F2CBA" w:rsidRPr="001C4272">
        <w:rPr>
          <w:b/>
          <w:bCs/>
        </w:rPr>
        <w:t>school disengagement (for which suspensions are assumed to be a proxy indicator)</w:t>
      </w:r>
    </w:p>
    <w:p w14:paraId="03CA5FA6" w14:textId="401EE334" w:rsidR="004075EF" w:rsidRDefault="00C27014" w:rsidP="004075EF">
      <w:pPr>
        <w:pStyle w:val="EYBulletedText1"/>
      </w:pPr>
      <w:r w:rsidRPr="001C4272">
        <w:rPr>
          <w:b/>
          <w:bCs/>
        </w:rPr>
        <w:t>S</w:t>
      </w:r>
      <w:r w:rsidR="00EC01FC" w:rsidRPr="001C4272">
        <w:rPr>
          <w:b/>
          <w:bCs/>
        </w:rPr>
        <w:t>hort</w:t>
      </w:r>
      <w:r w:rsidR="00843D0B">
        <w:rPr>
          <w:b/>
          <w:bCs/>
        </w:rPr>
        <w:t>-</w:t>
      </w:r>
      <w:r w:rsidR="00E14D3C" w:rsidRPr="001C4272">
        <w:rPr>
          <w:b/>
          <w:bCs/>
        </w:rPr>
        <w:t>term impacts of school disengagement</w:t>
      </w:r>
      <w:r w:rsidRPr="001C4272">
        <w:rPr>
          <w:b/>
          <w:bCs/>
        </w:rPr>
        <w:t xml:space="preserve"> – </w:t>
      </w:r>
      <w:r w:rsidR="00E14D3C" w:rsidRPr="001C4272">
        <w:rPr>
          <w:b/>
          <w:bCs/>
        </w:rPr>
        <w:t>impacts experienced during the schooling period</w:t>
      </w:r>
      <w:r w:rsidR="004075EF">
        <w:rPr>
          <w:b/>
          <w:bCs/>
        </w:rPr>
        <w:t xml:space="preserve">. </w:t>
      </w:r>
      <w:r w:rsidR="00B242B4" w:rsidRPr="00B242B4">
        <w:t>These estimates are d</w:t>
      </w:r>
      <w:r w:rsidR="004075EF" w:rsidRPr="00CB4DB8">
        <w:t>riven by:</w:t>
      </w:r>
    </w:p>
    <w:p w14:paraId="6AA9AB60" w14:textId="77777777" w:rsidR="00EC10EF" w:rsidRDefault="00EC10EF" w:rsidP="006D6A08">
      <w:pPr>
        <w:pStyle w:val="EYBulletedText2"/>
      </w:pPr>
      <w:r w:rsidRPr="00EC10EF">
        <w:rPr>
          <w:b/>
          <w:bCs/>
        </w:rPr>
        <w:t xml:space="preserve">The amount of schooling days lost by students and subsequent impacts on learning and development, </w:t>
      </w:r>
      <w:r w:rsidRPr="00EC10EF">
        <w:t>and the employment time given up by parents/carers to look after suspended children and respond to subsequent schooling implications following suspensions and exclusions.</w:t>
      </w:r>
    </w:p>
    <w:p w14:paraId="08DFFB09" w14:textId="3063FB1D" w:rsidR="00EC10EF" w:rsidRDefault="00EC10EF" w:rsidP="00EC10EF">
      <w:pPr>
        <w:pStyle w:val="EYBulletedText2"/>
      </w:pPr>
      <w:r w:rsidRPr="00EC10EF">
        <w:rPr>
          <w:b/>
          <w:bCs/>
        </w:rPr>
        <w:t>The number of students who are more likely to interact with Youth Justice Services, measured by students receiving suspensions and exclusions</w:t>
      </w:r>
      <w:r w:rsidRPr="00EC10EF">
        <w:t>, and the cost associated with Youth Justice detentions for those students.</w:t>
      </w:r>
    </w:p>
    <w:p w14:paraId="430D3C35" w14:textId="1D36298F" w:rsidR="007806D6" w:rsidRDefault="007806D6" w:rsidP="007806D6">
      <w:pPr>
        <w:pStyle w:val="EYBulletedText1"/>
        <w:numPr>
          <w:ilvl w:val="0"/>
          <w:numId w:val="0"/>
        </w:numPr>
        <w:ind w:left="425"/>
      </w:pPr>
      <w:r w:rsidRPr="007806D6">
        <w:t>We also estimated the opportunity costs to teachers from time spent managing student behaviour rather than classroom instruction, and the number of students with disability and suspensions expected to achieve NAPLAN levels at or below National Minimum Standards. Other short-term impacts not quantified in this analysis include adverse impacts on student and family mental health and wellbeing, teacher stress and wellbeing and school resources required to respond to subsequent implications from suspensions.</w:t>
      </w:r>
    </w:p>
    <w:p w14:paraId="478FDACD" w14:textId="351A413D" w:rsidR="00744A6F" w:rsidRDefault="00C27014" w:rsidP="007B2DC1">
      <w:pPr>
        <w:pStyle w:val="EYBulletedText1"/>
      </w:pPr>
      <w:r w:rsidRPr="00B201B3">
        <w:rPr>
          <w:b/>
          <w:bCs/>
        </w:rPr>
        <w:t>L</w:t>
      </w:r>
      <w:r w:rsidR="00EC01FC" w:rsidRPr="00B201B3">
        <w:rPr>
          <w:b/>
          <w:bCs/>
        </w:rPr>
        <w:t>ong</w:t>
      </w:r>
      <w:r w:rsidR="00843D0B" w:rsidRPr="00B201B3">
        <w:rPr>
          <w:b/>
          <w:bCs/>
        </w:rPr>
        <w:t>-</w:t>
      </w:r>
      <w:r w:rsidR="00EC01FC" w:rsidRPr="00B201B3">
        <w:rPr>
          <w:b/>
        </w:rPr>
        <w:t xml:space="preserve">term </w:t>
      </w:r>
      <w:r w:rsidR="00E03294" w:rsidRPr="00B201B3">
        <w:rPr>
          <w:b/>
        </w:rPr>
        <w:t xml:space="preserve">impacts </w:t>
      </w:r>
      <w:r w:rsidR="00B242B4" w:rsidRPr="00B201B3">
        <w:rPr>
          <w:b/>
        </w:rPr>
        <w:t>d</w:t>
      </w:r>
      <w:r w:rsidR="004075EF" w:rsidRPr="00B201B3">
        <w:rPr>
          <w:b/>
        </w:rPr>
        <w:t>riven by</w:t>
      </w:r>
      <w:r w:rsidR="00B201B3" w:rsidRPr="00B201B3">
        <w:rPr>
          <w:b/>
        </w:rPr>
        <w:t xml:space="preserve"> </w:t>
      </w:r>
      <w:r w:rsidR="00B201B3" w:rsidRPr="00B201B3">
        <w:rPr>
          <w:b/>
          <w:bCs/>
        </w:rPr>
        <w:t>l</w:t>
      </w:r>
      <w:r w:rsidR="00762727" w:rsidRPr="00B201B3">
        <w:rPr>
          <w:b/>
          <w:bCs/>
        </w:rPr>
        <w:t xml:space="preserve">ower levels of educational attainment </w:t>
      </w:r>
      <w:r w:rsidR="00762727" w:rsidRPr="00762727">
        <w:t xml:space="preserve">which are associated with longer term reductions in employment and income across the adult </w:t>
      </w:r>
      <w:r w:rsidR="00230E9C" w:rsidRPr="00762727">
        <w:t>life course</w:t>
      </w:r>
      <w:r w:rsidR="00762727" w:rsidRPr="00762727">
        <w:t xml:space="preserve">. </w:t>
      </w:r>
      <w:r w:rsidR="004B64C1" w:rsidRPr="004B64C1">
        <w:t xml:space="preserve">This can also contribute to increased rates of Government income support and other outcomes such as lower levels of health and a greater likelihood of contact with the adult criminal justice system. </w:t>
      </w:r>
    </w:p>
    <w:p w14:paraId="3FAEE69C" w14:textId="52D0224A" w:rsidR="00625C30" w:rsidRDefault="00625C30" w:rsidP="0016302C">
      <w:pPr>
        <w:pStyle w:val="EYBodytextwithparaspace"/>
      </w:pPr>
      <w:r w:rsidRPr="00625C30">
        <w:t>We also estimated the potential impacts on life satisfaction from longer term differences in employment and income, and the number of young people involved with Youth Justice services who potentially proceed to have interactions with the adult Justice custodial system. These are categorised under ‘other impacts’ in our calculations.</w:t>
      </w:r>
    </w:p>
    <w:p w14:paraId="2CC97D24" w14:textId="0017834E" w:rsidR="0016302C" w:rsidRDefault="0016302C" w:rsidP="0016302C">
      <w:pPr>
        <w:pStyle w:val="EYBodytextwithparaspace"/>
      </w:pPr>
      <w:r>
        <w:t>We have also highlighted some of the social impacts associated with children with disability experiencing suspensions, their parents/caregivers and teachers, but recognise that there may be many more potential impacts which we have not explored in this study due to the focus on economic impacts or unavailable data. It is important to acknowledge these impacts can be significant to the children and young people affected even if not currently quantifiable or associated with a monetary impact.</w:t>
      </w:r>
    </w:p>
    <w:tbl>
      <w:tblPr>
        <w:tblStyle w:val="TableGrid"/>
        <w:tblW w:w="0" w:type="auto"/>
        <w:shd w:val="clear" w:color="auto" w:fill="FFFACC" w:themeFill="text2" w:themeFillTint="33"/>
        <w:tblCellMar>
          <w:top w:w="57" w:type="dxa"/>
        </w:tblCellMar>
        <w:tblLook w:val="04A0" w:firstRow="1" w:lastRow="0" w:firstColumn="1" w:lastColumn="0" w:noHBand="0" w:noVBand="1"/>
      </w:tblPr>
      <w:tblGrid>
        <w:gridCol w:w="9019"/>
      </w:tblGrid>
      <w:tr w:rsidR="005D4ECE" w14:paraId="5964EC0D" w14:textId="77777777" w:rsidTr="005D4ECE">
        <w:tc>
          <w:tcPr>
            <w:tcW w:w="9019" w:type="dxa"/>
            <w:shd w:val="clear" w:color="auto" w:fill="FFFACC" w:themeFill="text2" w:themeFillTint="33"/>
          </w:tcPr>
          <w:p w14:paraId="2FB909C4" w14:textId="77777777" w:rsidR="005D4ECE" w:rsidRPr="00B1129A" w:rsidRDefault="005D4ECE" w:rsidP="005D4ECE">
            <w:pPr>
              <w:pStyle w:val="EYSubheading"/>
            </w:pPr>
            <w:r w:rsidRPr="00B1129A">
              <w:lastRenderedPageBreak/>
              <w:t>Key assumptions in our approach</w:t>
            </w:r>
          </w:p>
          <w:p w14:paraId="68B87ABE" w14:textId="5FB4DC2E" w:rsidR="005D4ECE" w:rsidRDefault="005D4ECE" w:rsidP="005D4ECE">
            <w:pPr>
              <w:pStyle w:val="EYBodytextwithparaspace"/>
              <w:numPr>
                <w:ilvl w:val="0"/>
                <w:numId w:val="35"/>
              </w:numPr>
              <w:tabs>
                <w:tab w:val="clear" w:pos="720"/>
                <w:tab w:val="num" w:pos="360"/>
              </w:tabs>
              <w:ind w:left="360"/>
            </w:pPr>
            <w:r w:rsidRPr="00B1129A">
              <w:rPr>
                <w:b/>
                <w:bCs/>
                <w:u w:val="single"/>
              </w:rPr>
              <w:t xml:space="preserve">The cost estimates in sections 1-4 of this document should be treated as the ‘maximum’ or upper range of economic costs that may be associated with suspensions for children with </w:t>
            </w:r>
            <w:proofErr w:type="gramStart"/>
            <w:r w:rsidRPr="00B1129A">
              <w:rPr>
                <w:b/>
                <w:bCs/>
                <w:u w:val="single"/>
              </w:rPr>
              <w:t>disability,  as</w:t>
            </w:r>
            <w:proofErr w:type="gramEnd"/>
            <w:r w:rsidRPr="00B1129A">
              <w:rPr>
                <w:b/>
                <w:bCs/>
                <w:u w:val="single"/>
              </w:rPr>
              <w:t xml:space="preserve"> they assume that 100% of the short term and longer term </w:t>
            </w:r>
            <w:r w:rsidR="00230E9C" w:rsidRPr="00B1129A">
              <w:rPr>
                <w:b/>
                <w:bCs/>
                <w:u w:val="single"/>
              </w:rPr>
              <w:t>life course</w:t>
            </w:r>
            <w:r w:rsidRPr="00B1129A">
              <w:rPr>
                <w:b/>
                <w:bCs/>
                <w:u w:val="single"/>
              </w:rPr>
              <w:t xml:space="preserve"> impacts experienced by students with disability and suspensions can be directly attributed to suspensions and underlying school disengagement. </w:t>
            </w:r>
          </w:p>
          <w:p w14:paraId="0849C35D" w14:textId="77777777" w:rsidR="005D4ECE" w:rsidRPr="00B1129A" w:rsidRDefault="005D4ECE" w:rsidP="005D4ECE">
            <w:pPr>
              <w:pStyle w:val="EYBodytextwithparaspace"/>
              <w:ind w:left="360"/>
            </w:pPr>
            <w:r w:rsidRPr="00B1129A">
              <w:rPr>
                <w:b/>
                <w:bCs/>
              </w:rPr>
              <w:t>In practice it is likely that these impacts are partially, but not fully, attributable to school disengagement – other characteristics of these children and young people, their families, schools and community will also likely contribute.</w:t>
            </w:r>
          </w:p>
          <w:p w14:paraId="10D86F53" w14:textId="7270B3B8" w:rsidR="005D4ECE" w:rsidRPr="00B1129A" w:rsidRDefault="005D4ECE" w:rsidP="005D4ECE">
            <w:pPr>
              <w:pStyle w:val="EYBodytextwithparaspace"/>
              <w:numPr>
                <w:ilvl w:val="0"/>
                <w:numId w:val="35"/>
              </w:numPr>
              <w:ind w:left="357" w:hanging="357"/>
            </w:pPr>
            <w:r w:rsidRPr="00B1129A">
              <w:rPr>
                <w:b/>
                <w:bCs/>
                <w:u w:val="single"/>
              </w:rPr>
              <w:t>Impacts associated with suspensions are assumed to be driven by underlying school disengagement and behavioural challenges</w:t>
            </w:r>
            <w:r w:rsidRPr="00B1129A">
              <w:rPr>
                <w:b/>
                <w:bCs/>
              </w:rPr>
              <w:t xml:space="preserve">, with suspensions a proxy indicator for these underlying challenges being experienced by children and young people. </w:t>
            </w:r>
            <w:r w:rsidRPr="00B1129A">
              <w:t xml:space="preserve">A reduction in recorded suspensions that is </w:t>
            </w:r>
            <w:r w:rsidRPr="00B1129A">
              <w:rPr>
                <w:u w:val="single"/>
              </w:rPr>
              <w:t>not</w:t>
            </w:r>
            <w:r w:rsidRPr="00B1129A">
              <w:t xml:space="preserve"> accompanied by an improvement in student engagement with their school and learning is not expected to lead to any change in </w:t>
            </w:r>
            <w:r w:rsidR="00230E9C" w:rsidRPr="00B1129A">
              <w:t>life course</w:t>
            </w:r>
            <w:r w:rsidRPr="00B1129A">
              <w:t xml:space="preserve"> impacts.</w:t>
            </w:r>
          </w:p>
          <w:p w14:paraId="5A3380E4" w14:textId="77777777" w:rsidR="005D4ECE" w:rsidRPr="00B1129A" w:rsidRDefault="005D4ECE" w:rsidP="005D4ECE">
            <w:pPr>
              <w:pStyle w:val="EYBodytextwithparaspace"/>
              <w:numPr>
                <w:ilvl w:val="0"/>
                <w:numId w:val="35"/>
              </w:numPr>
              <w:ind w:left="357" w:hanging="357"/>
            </w:pPr>
            <w:r w:rsidRPr="00B1129A">
              <w:rPr>
                <w:b/>
                <w:bCs/>
              </w:rPr>
              <w:t>We assume that the Queensland cohort is comparable to broader Australia as well as different state jurisdictions</w:t>
            </w:r>
            <w:r w:rsidRPr="00B1129A">
              <w:t>. Where available, we use studies and statistics that are taken from the Queensland population but due to limitations in publicly available data, we also reference studies from other state jurisdictions or with national data.</w:t>
            </w:r>
          </w:p>
          <w:p w14:paraId="5DDF44F2" w14:textId="374FF8D4" w:rsidR="005D4ECE" w:rsidRDefault="005D4ECE" w:rsidP="0016302C">
            <w:pPr>
              <w:pStyle w:val="EYBodytextwithparaspace"/>
              <w:numPr>
                <w:ilvl w:val="0"/>
                <w:numId w:val="35"/>
              </w:numPr>
              <w:ind w:left="357" w:hanging="357"/>
            </w:pPr>
            <w:r w:rsidRPr="00B1129A">
              <w:rPr>
                <w:b/>
                <w:bCs/>
              </w:rPr>
              <w:t xml:space="preserve">We assume that the impact of suspensions is the same for students with disability as it is for other students, due to limitations in the data available. </w:t>
            </w:r>
            <w:r w:rsidRPr="00B1129A">
              <w:t xml:space="preserve">This may be different to actual experience, as students with disability have different experiences to those without across a range of different outcomes. </w:t>
            </w:r>
          </w:p>
        </w:tc>
      </w:tr>
    </w:tbl>
    <w:p w14:paraId="2DE02F55" w14:textId="77777777" w:rsidR="000871CC" w:rsidRDefault="000871CC" w:rsidP="004B3E10">
      <w:pPr>
        <w:pStyle w:val="EYBodytextwithparaspace"/>
      </w:pPr>
    </w:p>
    <w:p w14:paraId="0C84A287" w14:textId="77777777" w:rsidR="000871CC" w:rsidRDefault="000871CC" w:rsidP="004B3E10">
      <w:pPr>
        <w:pStyle w:val="EYBodytextwithparaspace"/>
        <w:sectPr w:rsidR="000871CC" w:rsidSect="00F4238C">
          <w:pgSz w:w="11909" w:h="16834" w:code="9"/>
          <w:pgMar w:top="1440" w:right="1440" w:bottom="1440" w:left="1440" w:header="720" w:footer="720" w:gutter="0"/>
          <w:cols w:space="720"/>
          <w:docGrid w:linePitch="360"/>
        </w:sectPr>
      </w:pPr>
    </w:p>
    <w:p w14:paraId="0E265B23" w14:textId="3BEDD3B9" w:rsidR="004B3E10" w:rsidRDefault="00F725BF" w:rsidP="004B3E10">
      <w:pPr>
        <w:pStyle w:val="EYBodytextwithparaspace"/>
      </w:pPr>
      <w:r>
        <w:lastRenderedPageBreak/>
        <w:t xml:space="preserve">The diagram below summarises the </w:t>
      </w:r>
      <w:r w:rsidR="00944F56">
        <w:t xml:space="preserve">main impacts highlighted in the studies from our research scan, </w:t>
      </w:r>
      <w:r w:rsidR="005A37A1">
        <w:t>the links assumed between short</w:t>
      </w:r>
      <w:r w:rsidR="00843D0B">
        <w:t>-</w:t>
      </w:r>
      <w:r w:rsidR="005A37A1">
        <w:t>term outcomes and long</w:t>
      </w:r>
      <w:r w:rsidR="00843D0B">
        <w:t>-</w:t>
      </w:r>
      <w:r w:rsidR="005A37A1">
        <w:t xml:space="preserve">term impacts, and </w:t>
      </w:r>
      <w:r w:rsidR="001A3B68">
        <w:t>the elements used to calculate short and long</w:t>
      </w:r>
      <w:r w:rsidR="00843D0B">
        <w:t>-</w:t>
      </w:r>
      <w:r w:rsidR="001A3B68">
        <w:t xml:space="preserve">term impacts </w:t>
      </w:r>
      <w:r w:rsidR="005A37A1">
        <w:t>that were measured in this analysis.</w:t>
      </w:r>
      <w:r w:rsidR="004B3E10">
        <w:t xml:space="preserve"> Note that the outcomes outlined here are not exhaustive of all the short term and </w:t>
      </w:r>
      <w:proofErr w:type="gramStart"/>
      <w:r w:rsidR="004B3E10">
        <w:t>long term</w:t>
      </w:r>
      <w:proofErr w:type="gramEnd"/>
      <w:r w:rsidR="004B3E10">
        <w:t xml:space="preserve"> impacts.</w:t>
      </w:r>
    </w:p>
    <w:p w14:paraId="79A1E2C8" w14:textId="6707433D" w:rsidR="00340F15" w:rsidRDefault="00340F15" w:rsidP="00340F15">
      <w:pPr>
        <w:pStyle w:val="EYBodytextwithparaspace"/>
      </w:pPr>
      <w:r>
        <w:t>It is also important to acknowledge that impacts not quantified in this analysis due to data limitations are still significant to students and their families and will be associated with economic or broader social costs. For instance, the research base highlights differences in the health status of populations with lower levels of educational attainment; economic costs arise to the extent this is directly attributable to lower education attainment and income flowing on from school disengagement.</w:t>
      </w:r>
    </w:p>
    <w:p w14:paraId="5AA41140" w14:textId="49721322" w:rsidR="004B3E10" w:rsidRDefault="004B3E10" w:rsidP="004B3E10">
      <w:pPr>
        <w:pStyle w:val="Caption"/>
      </w:pPr>
      <w:r>
        <w:t xml:space="preserve">Figure </w:t>
      </w:r>
      <w:r>
        <w:fldChar w:fldCharType="begin"/>
      </w:r>
      <w:r>
        <w:instrText xml:space="preserve"> SEQ Figure \* ARABIC </w:instrText>
      </w:r>
      <w:r>
        <w:fldChar w:fldCharType="separate"/>
      </w:r>
      <w:r w:rsidR="003948D2">
        <w:rPr>
          <w:noProof/>
        </w:rPr>
        <w:t>1</w:t>
      </w:r>
      <w:r>
        <w:fldChar w:fldCharType="end"/>
      </w:r>
      <w:r>
        <w:t xml:space="preserve">: </w:t>
      </w:r>
      <w:r w:rsidR="00D72148">
        <w:t>Overview of quantified and non-quantified impacts</w:t>
      </w:r>
      <w:r w:rsidR="00615E62">
        <w:t xml:space="preserve"> associated with suspensions for students with disability</w:t>
      </w:r>
    </w:p>
    <w:p w14:paraId="421FBFC8" w14:textId="7776BABC" w:rsidR="000871CC" w:rsidRDefault="00DF6A75" w:rsidP="00142D12">
      <w:pPr>
        <w:pStyle w:val="EYBodytextwithparaspace"/>
      </w:pPr>
      <w:r w:rsidRPr="00DF6A75">
        <w:rPr>
          <w:noProof/>
        </w:rPr>
        <w:drawing>
          <wp:inline distT="0" distB="0" distL="0" distR="0" wp14:anchorId="5D91E90C" wp14:editId="4FF1D2B6">
            <wp:extent cx="7905509" cy="3961254"/>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925222" cy="3971132"/>
                    </a:xfrm>
                    <a:prstGeom prst="rect">
                      <a:avLst/>
                    </a:prstGeom>
                    <a:noFill/>
                    <a:ln>
                      <a:noFill/>
                    </a:ln>
                  </pic:spPr>
                </pic:pic>
              </a:graphicData>
            </a:graphic>
          </wp:inline>
        </w:drawing>
      </w:r>
    </w:p>
    <w:p w14:paraId="575BD5EE" w14:textId="77777777" w:rsidR="00142D12" w:rsidRDefault="00142D12">
      <w:pPr>
        <w:autoSpaceDE/>
        <w:autoSpaceDN/>
        <w:adjustRightInd/>
        <w:sectPr w:rsidR="00142D12" w:rsidSect="000871CC">
          <w:footerReference w:type="default" r:id="rId21"/>
          <w:pgSz w:w="16834" w:h="11909" w:orient="landscape" w:code="9"/>
          <w:pgMar w:top="1440" w:right="1440" w:bottom="1440" w:left="1440" w:header="720" w:footer="720" w:gutter="0"/>
          <w:cols w:space="720"/>
          <w:docGrid w:linePitch="360"/>
        </w:sectPr>
      </w:pPr>
    </w:p>
    <w:p w14:paraId="48CC7B27" w14:textId="647FFCAF" w:rsidR="00477AFA" w:rsidRDefault="00F071CA" w:rsidP="001B3530">
      <w:pPr>
        <w:pStyle w:val="EYHeading1"/>
        <w:pageBreakBefore w:val="0"/>
      </w:pPr>
      <w:bookmarkStart w:id="6" w:name="_Toc165390903"/>
      <w:r>
        <w:lastRenderedPageBreak/>
        <w:t xml:space="preserve">Data </w:t>
      </w:r>
      <w:r w:rsidR="00742253">
        <w:t>a</w:t>
      </w:r>
      <w:r w:rsidR="000F30A1">
        <w:t xml:space="preserve">vailability and </w:t>
      </w:r>
      <w:r w:rsidR="00742253">
        <w:t>u</w:t>
      </w:r>
      <w:r w:rsidR="000F30A1">
        <w:t>se</w:t>
      </w:r>
      <w:bookmarkEnd w:id="6"/>
    </w:p>
    <w:p w14:paraId="36C2E1E6" w14:textId="28E30E8E" w:rsidR="00F071CA" w:rsidRDefault="00F071CA" w:rsidP="00F071CA">
      <w:pPr>
        <w:pStyle w:val="EYBodytextwithparaspace"/>
      </w:pPr>
      <w:r>
        <w:t>The following table</w:t>
      </w:r>
      <w:r w:rsidR="00BF5253">
        <w:t>s</w:t>
      </w:r>
      <w:r>
        <w:t xml:space="preserve"> detail</w:t>
      </w:r>
      <w:r w:rsidR="000F59E6">
        <w:t xml:space="preserve"> data</w:t>
      </w:r>
      <w:r w:rsidR="00742253">
        <w:t xml:space="preserve"> </w:t>
      </w:r>
      <w:r w:rsidR="009F0553">
        <w:t>points that are</w:t>
      </w:r>
      <w:r w:rsidR="000F59E6">
        <w:t xml:space="preserve"> relevant for our economic cost investigation</w:t>
      </w:r>
      <w:r w:rsidR="009F0553">
        <w:t xml:space="preserve">. It outlines the </w:t>
      </w:r>
      <w:r w:rsidR="0034368C">
        <w:t xml:space="preserve">availability </w:t>
      </w:r>
      <w:r w:rsidR="009F0553">
        <w:t xml:space="preserve">of the data, </w:t>
      </w:r>
      <w:r w:rsidR="008E0883">
        <w:t xml:space="preserve">whether </w:t>
      </w:r>
      <w:r w:rsidR="0021673A">
        <w:t>a</w:t>
      </w:r>
      <w:r w:rsidR="00FF653C">
        <w:t>n economic</w:t>
      </w:r>
      <w:r w:rsidR="0021673A">
        <w:t xml:space="preserve"> cost can be </w:t>
      </w:r>
      <w:r w:rsidR="00F264C9">
        <w:t xml:space="preserve">directly </w:t>
      </w:r>
      <w:r w:rsidR="0021673A">
        <w:t xml:space="preserve">derived, </w:t>
      </w:r>
      <w:r w:rsidR="009F0553">
        <w:t>as well as</w:t>
      </w:r>
      <w:r w:rsidR="009B12C2">
        <w:t xml:space="preserve"> considerations on potential social costs</w:t>
      </w:r>
      <w:r w:rsidR="009F0553">
        <w:t xml:space="preserve">. </w:t>
      </w:r>
      <w:r w:rsidR="00BF5253">
        <w:t xml:space="preserve">We have broken these data points down into three </w:t>
      </w:r>
      <w:r w:rsidR="00F264C9">
        <w:t>g</w:t>
      </w:r>
      <w:r w:rsidR="00BF5253">
        <w:t>roups:</w:t>
      </w:r>
    </w:p>
    <w:p w14:paraId="23FE7D0A" w14:textId="298E608B" w:rsidR="00BF5253" w:rsidRDefault="00BF5253" w:rsidP="00B302DB">
      <w:pPr>
        <w:pStyle w:val="EYBulletedText1"/>
      </w:pPr>
      <w:r>
        <w:t xml:space="preserve">Cohort </w:t>
      </w:r>
      <w:r w:rsidR="00742253">
        <w:t>s</w:t>
      </w:r>
      <w:r>
        <w:t>ize</w:t>
      </w:r>
    </w:p>
    <w:p w14:paraId="60104823" w14:textId="0D386BC9" w:rsidR="00BF5253" w:rsidRDefault="00BF5253" w:rsidP="00B302DB">
      <w:pPr>
        <w:pStyle w:val="EYBulletedText1"/>
      </w:pPr>
      <w:r>
        <w:t xml:space="preserve">Short-term </w:t>
      </w:r>
      <w:r w:rsidR="00742253">
        <w:t>i</w:t>
      </w:r>
      <w:r>
        <w:t>mpacts</w:t>
      </w:r>
      <w:r w:rsidR="009B12C2">
        <w:t xml:space="preserve">, </w:t>
      </w:r>
      <w:r w:rsidR="000457ED">
        <w:t xml:space="preserve">where </w:t>
      </w:r>
      <w:r w:rsidR="00922A1B">
        <w:t xml:space="preserve">economic </w:t>
      </w:r>
      <w:r w:rsidR="000457ED">
        <w:t>impacts are felt during the schooling period</w:t>
      </w:r>
    </w:p>
    <w:p w14:paraId="57766EC9" w14:textId="4C9F8FC0" w:rsidR="00BF5253" w:rsidRDefault="00BF5253" w:rsidP="00B302DB">
      <w:pPr>
        <w:pStyle w:val="EYBulletedText1"/>
      </w:pPr>
      <w:r>
        <w:t xml:space="preserve">Long-term </w:t>
      </w:r>
      <w:r w:rsidR="00742253">
        <w:t>i</w:t>
      </w:r>
      <w:r>
        <w:t>mpacts</w:t>
      </w:r>
      <w:r w:rsidR="000457ED">
        <w:t xml:space="preserve">, where </w:t>
      </w:r>
      <w:r w:rsidR="00922A1B">
        <w:t xml:space="preserve">economic </w:t>
      </w:r>
      <w:r w:rsidR="000457ED">
        <w:t xml:space="preserve">impacts are felt </w:t>
      </w:r>
      <w:r w:rsidR="00922A1B">
        <w:t>once</w:t>
      </w:r>
      <w:r w:rsidR="000457ED">
        <w:t xml:space="preserve"> the student moves into adulthood</w:t>
      </w:r>
    </w:p>
    <w:p w14:paraId="78207FD3" w14:textId="710B6334" w:rsidR="00FD5CFA" w:rsidRDefault="00FD5CFA" w:rsidP="00FD5CFA">
      <w:pPr>
        <w:pStyle w:val="EYHeading2"/>
      </w:pPr>
      <w:bookmarkStart w:id="7" w:name="_Toc165390904"/>
      <w:r>
        <w:t xml:space="preserve">Data </w:t>
      </w:r>
      <w:r w:rsidR="00742253">
        <w:t>g</w:t>
      </w:r>
      <w:r>
        <w:t>aps</w:t>
      </w:r>
      <w:bookmarkEnd w:id="7"/>
    </w:p>
    <w:p w14:paraId="03F1EBD6" w14:textId="484FCAC5" w:rsidR="0027313E" w:rsidRDefault="00611D2D" w:rsidP="00FD5CFA">
      <w:pPr>
        <w:pStyle w:val="EYBodytextwithparaspace"/>
      </w:pPr>
      <w:r>
        <w:t>S</w:t>
      </w:r>
      <w:r w:rsidR="00611E22">
        <w:t>everal</w:t>
      </w:r>
      <w:r w:rsidR="00AF1248">
        <w:t xml:space="preserve"> data gaps</w:t>
      </w:r>
      <w:r w:rsidR="007339CF">
        <w:t xml:space="preserve"> </w:t>
      </w:r>
      <w:r>
        <w:t xml:space="preserve">in the available research base </w:t>
      </w:r>
      <w:r w:rsidR="00611E22">
        <w:t xml:space="preserve">limited the scope of the </w:t>
      </w:r>
      <w:r>
        <w:t>assumptions</w:t>
      </w:r>
      <w:r w:rsidR="004E0DB8">
        <w:t xml:space="preserve"> </w:t>
      </w:r>
      <w:r>
        <w:t>we could make when quantifying impacts</w:t>
      </w:r>
      <w:r w:rsidR="00611E22">
        <w:t xml:space="preserve">. The largest one was </w:t>
      </w:r>
      <w:r w:rsidR="00DA07BF">
        <w:t xml:space="preserve">quantified estimates around the strength of the </w:t>
      </w:r>
      <w:r w:rsidR="00611E22">
        <w:t xml:space="preserve">relationship between </w:t>
      </w:r>
      <w:r w:rsidR="008273F4">
        <w:t xml:space="preserve">suspensions </w:t>
      </w:r>
      <w:r w:rsidR="0059611F">
        <w:t>of</w:t>
      </w:r>
      <w:r w:rsidR="00372933">
        <w:t xml:space="preserve"> Australian children with disabilities and their </w:t>
      </w:r>
      <w:r w:rsidR="0059611F">
        <w:t>subsequent young adult and lifetime</w:t>
      </w:r>
      <w:r w:rsidR="00372933">
        <w:t xml:space="preserve"> outcomes. </w:t>
      </w:r>
      <w:r w:rsidR="00CA125B">
        <w:t>Some of these</w:t>
      </w:r>
      <w:r w:rsidR="00664F79">
        <w:t xml:space="preserve"> gaps </w:t>
      </w:r>
      <w:r w:rsidR="00866FC3">
        <w:t>are due to</w:t>
      </w:r>
      <w:r w:rsidR="00664F79">
        <w:t xml:space="preserve"> the lack of available longitudinal </w:t>
      </w:r>
      <w:r w:rsidR="008B25BB">
        <w:t xml:space="preserve">data </w:t>
      </w:r>
      <w:r w:rsidR="00FC2A00">
        <w:t>linking</w:t>
      </w:r>
      <w:r w:rsidR="00664F79">
        <w:t xml:space="preserve"> Australian </w:t>
      </w:r>
      <w:r w:rsidR="008B25BB">
        <w:t xml:space="preserve">students </w:t>
      </w:r>
      <w:r w:rsidR="00D57B8E">
        <w:t xml:space="preserve">and their school experiences with </w:t>
      </w:r>
      <w:r w:rsidR="008B25BB">
        <w:t xml:space="preserve">subsequent </w:t>
      </w:r>
      <w:r w:rsidR="009139DD">
        <w:t xml:space="preserve">adult </w:t>
      </w:r>
      <w:r w:rsidR="00DA07BF">
        <w:t xml:space="preserve">life course outcomes and service interactions </w:t>
      </w:r>
      <w:r w:rsidR="009139DD">
        <w:t>across employment, health</w:t>
      </w:r>
      <w:r w:rsidR="00FC2A00">
        <w:t>,</w:t>
      </w:r>
      <w:r w:rsidR="009139DD">
        <w:t xml:space="preserve"> </w:t>
      </w:r>
      <w:r w:rsidR="009C4FD1">
        <w:t xml:space="preserve">justice, </w:t>
      </w:r>
      <w:r w:rsidR="009139DD">
        <w:t>and other sectors.</w:t>
      </w:r>
      <w:r w:rsidR="00CA125B">
        <w:t xml:space="preserve"> Gaps around </w:t>
      </w:r>
      <w:r w:rsidR="00B809D3">
        <w:t xml:space="preserve">published information on </w:t>
      </w:r>
      <w:r w:rsidR="00CA125B">
        <w:t>shor</w:t>
      </w:r>
      <w:r w:rsidR="00FB1ED1">
        <w:t>t</w:t>
      </w:r>
      <w:r w:rsidR="00843D0B">
        <w:t>-</w:t>
      </w:r>
      <w:r w:rsidR="00CA125B">
        <w:t xml:space="preserve">term impacts (such as the </w:t>
      </w:r>
      <w:r w:rsidR="006F40BE">
        <w:t>association</w:t>
      </w:r>
      <w:r w:rsidR="00E435D4">
        <w:t xml:space="preserve"> between suspensions and </w:t>
      </w:r>
      <w:r w:rsidR="006F40BE">
        <w:t xml:space="preserve">year 12 attainment controlling for other drivers) could </w:t>
      </w:r>
      <w:r w:rsidR="007F6657">
        <w:t xml:space="preserve">potentially be addressed </w:t>
      </w:r>
      <w:r w:rsidR="00D57B8E">
        <w:t xml:space="preserve">in the future </w:t>
      </w:r>
      <w:r w:rsidR="007F6657">
        <w:t>by statistical analysis of data held by state education departments.</w:t>
      </w:r>
      <w:r w:rsidR="009139DD">
        <w:t xml:space="preserve"> </w:t>
      </w:r>
      <w:r w:rsidR="00D25C6A">
        <w:t xml:space="preserve">Where longitudinal data was available, </w:t>
      </w:r>
      <w:r w:rsidR="002C7445">
        <w:t>it covered other Australian states</w:t>
      </w:r>
      <w:r w:rsidR="0080564C">
        <w:t xml:space="preserve"> </w:t>
      </w:r>
      <w:r w:rsidR="000D7A18">
        <w:t xml:space="preserve">(e.g. the NSW pilot study around </w:t>
      </w:r>
      <w:r w:rsidR="004B3693">
        <w:t xml:space="preserve">Justice system interactions for young people with disability using the National Disability Data Asset) </w:t>
      </w:r>
      <w:r w:rsidR="0080564C">
        <w:t xml:space="preserve">or </w:t>
      </w:r>
      <w:r w:rsidR="004B3693">
        <w:t xml:space="preserve">other </w:t>
      </w:r>
      <w:r w:rsidR="0080564C">
        <w:t>countries</w:t>
      </w:r>
      <w:r w:rsidR="002C7445">
        <w:t xml:space="preserve"> </w:t>
      </w:r>
      <w:r w:rsidR="004B3693">
        <w:t>(e.g. UK, USA).</w:t>
      </w:r>
    </w:p>
    <w:p w14:paraId="316B6145" w14:textId="785CBAB5" w:rsidR="00806DD4" w:rsidRDefault="00806DD4" w:rsidP="00FD5CFA">
      <w:pPr>
        <w:pStyle w:val="EYBodytextwithparaspace"/>
      </w:pPr>
      <w:r>
        <w:t xml:space="preserve">We note that </w:t>
      </w:r>
      <w:r w:rsidR="00BA44D7">
        <w:t xml:space="preserve">administrative data relating to </w:t>
      </w:r>
      <w:r w:rsidR="007847DA">
        <w:t>life</w:t>
      </w:r>
      <w:r w:rsidR="00C410DA">
        <w:t xml:space="preserve"> </w:t>
      </w:r>
      <w:r w:rsidR="007847DA">
        <w:t xml:space="preserve">course </w:t>
      </w:r>
      <w:r w:rsidR="00BA44D7">
        <w:t xml:space="preserve">interactions does exist but is owned by different </w:t>
      </w:r>
      <w:r w:rsidR="00AA0EE7">
        <w:t xml:space="preserve">agencies across Commonwealth and state government </w:t>
      </w:r>
      <w:r w:rsidR="0073169C">
        <w:t>jurisdictions and</w:t>
      </w:r>
      <w:r w:rsidR="00AA0EE7">
        <w:t xml:space="preserve"> would require linkage to </w:t>
      </w:r>
      <w:r w:rsidR="002E66A1">
        <w:t>form a suitable research database.</w:t>
      </w:r>
      <w:r w:rsidR="00C410DA">
        <w:t xml:space="preserve"> The National Disability Data Asset </w:t>
      </w:r>
      <w:r w:rsidR="009F7CA1">
        <w:t xml:space="preserve">(NDDA) </w:t>
      </w:r>
      <w:r w:rsidR="00C410DA">
        <w:t xml:space="preserve">is a </w:t>
      </w:r>
      <w:r w:rsidR="00CF6FFD">
        <w:t xml:space="preserve">developing </w:t>
      </w:r>
      <w:r w:rsidR="00C410DA">
        <w:t xml:space="preserve">data linkage project </w:t>
      </w:r>
      <w:r w:rsidR="00CF6FFD">
        <w:t>which aims to provide this research base for the Australian population of people with disability</w:t>
      </w:r>
      <w:r w:rsidR="0025682D">
        <w:t xml:space="preserve">, although we note state Education datasets are not currently in the scope of </w:t>
      </w:r>
      <w:r w:rsidR="009F7CA1">
        <w:t xml:space="preserve">the NDDA </w:t>
      </w:r>
      <w:r w:rsidR="0025682D">
        <w:t>linked datasets</w:t>
      </w:r>
      <w:r w:rsidR="00CF6FFD">
        <w:t>.</w:t>
      </w:r>
    </w:p>
    <w:p w14:paraId="564E1991" w14:textId="439E5FA7" w:rsidR="00166DBC" w:rsidRPr="00FD5CFA" w:rsidRDefault="00EE6329" w:rsidP="00FD5CFA">
      <w:pPr>
        <w:pStyle w:val="EYBodytextwithparaspace"/>
      </w:pPr>
      <w:r>
        <w:t xml:space="preserve">We identified </w:t>
      </w:r>
      <w:r w:rsidR="00E435D4">
        <w:t xml:space="preserve">a </w:t>
      </w:r>
      <w:r w:rsidR="009D1F8F">
        <w:t xml:space="preserve">few </w:t>
      </w:r>
      <w:r w:rsidR="00E435D4">
        <w:t xml:space="preserve">longitudinal studies </w:t>
      </w:r>
      <w:r>
        <w:t xml:space="preserve">from overseas jurisdictions </w:t>
      </w:r>
      <w:r w:rsidR="009F7CA1">
        <w:t xml:space="preserve">(UK, USA) </w:t>
      </w:r>
      <w:r>
        <w:t xml:space="preserve">that </w:t>
      </w:r>
      <w:r w:rsidR="00FC0223">
        <w:t xml:space="preserve">applied statistical techniques to demonstrate an association between suspensions and </w:t>
      </w:r>
      <w:r w:rsidR="00B43A38">
        <w:t xml:space="preserve">young adulthood outcomes (ages 18 to 25), even after controlling for other sociodemographic factors. </w:t>
      </w:r>
      <w:r w:rsidR="002E66A1">
        <w:t xml:space="preserve">We elected </w:t>
      </w:r>
      <w:r w:rsidR="0027313E">
        <w:t>not to apply the quantitative estimates from these studies to this analysis due to uncertainty around the comparability of overseas education, employment</w:t>
      </w:r>
      <w:r w:rsidR="00F5740E">
        <w:t>, criminal justice</w:t>
      </w:r>
      <w:r w:rsidR="0027313E">
        <w:t xml:space="preserve"> and other systems to the Australian context.</w:t>
      </w:r>
    </w:p>
    <w:p w14:paraId="7BF92224" w14:textId="5067609E" w:rsidR="00BF5253" w:rsidRDefault="00BF5253" w:rsidP="00BF5253">
      <w:pPr>
        <w:pStyle w:val="EYHeading2"/>
      </w:pPr>
      <w:bookmarkStart w:id="8" w:name="_Toc165390905"/>
      <w:r>
        <w:t xml:space="preserve">Cohort </w:t>
      </w:r>
      <w:r w:rsidR="00EB25B9">
        <w:t>s</w:t>
      </w:r>
      <w:r>
        <w:t>ize</w:t>
      </w:r>
      <w:bookmarkEnd w:id="8"/>
    </w:p>
    <w:p w14:paraId="74BC20FC" w14:textId="0142211F" w:rsidR="00ED16E2" w:rsidRDefault="00133C0B" w:rsidP="00ED16E2">
      <w:pPr>
        <w:pStyle w:val="EYBodytextwithparaspace"/>
      </w:pPr>
      <w:r>
        <w:t>The target cohort</w:t>
      </w:r>
      <w:r w:rsidR="00F616D7">
        <w:t xml:space="preserve"> </w:t>
      </w:r>
      <w:r w:rsidR="008462CB">
        <w:t xml:space="preserve">for this analysis </w:t>
      </w:r>
      <w:r w:rsidR="00582721">
        <w:t xml:space="preserve">are students in Queensland </w:t>
      </w:r>
      <w:r w:rsidR="00370B7D">
        <w:t xml:space="preserve">attending </w:t>
      </w:r>
      <w:r w:rsidR="009457D3">
        <w:t>Prep Year</w:t>
      </w:r>
      <w:r w:rsidR="00370B7D">
        <w:t xml:space="preserve"> to </w:t>
      </w:r>
      <w:r w:rsidR="009457D3">
        <w:t xml:space="preserve">Year </w:t>
      </w:r>
      <w:r w:rsidR="00370B7D">
        <w:t xml:space="preserve">12 </w:t>
      </w:r>
      <w:r w:rsidR="00582721">
        <w:t xml:space="preserve">who </w:t>
      </w:r>
      <w:r w:rsidR="00276CC4">
        <w:t>have</w:t>
      </w:r>
      <w:r w:rsidR="00722B22">
        <w:t xml:space="preserve"> </w:t>
      </w:r>
      <w:r w:rsidR="000633FD">
        <w:t xml:space="preserve">a </w:t>
      </w:r>
      <w:r w:rsidR="000B0088">
        <w:t>Nationally Consistent Collection of Data (NCCD) verified disability</w:t>
      </w:r>
      <w:r w:rsidR="00C15618">
        <w:t xml:space="preserve"> </w:t>
      </w:r>
      <w:r w:rsidR="008462CB">
        <w:t xml:space="preserve">and </w:t>
      </w:r>
      <w:r w:rsidR="000B0088">
        <w:t xml:space="preserve">are </w:t>
      </w:r>
      <w:r w:rsidR="00054921">
        <w:t>receiving adjustments</w:t>
      </w:r>
      <w:r w:rsidR="00B51C5B">
        <w:t xml:space="preserve">. </w:t>
      </w:r>
      <w:r w:rsidR="00054921">
        <w:t>This group includes students with intellectual, physical, sensory and social/emotional disability as well as students with difficulties in learning or behaviour due to disability</w:t>
      </w:r>
      <w:r w:rsidR="00CD6B71">
        <w:rPr>
          <w:rStyle w:val="FootnoteReference"/>
        </w:rPr>
        <w:footnoteReference w:id="2"/>
      </w:r>
      <w:r w:rsidR="00054921">
        <w:t xml:space="preserve">. </w:t>
      </w:r>
      <w:r w:rsidR="00370B7D">
        <w:t xml:space="preserve">Of this cohort, we are interested in identifying cohorts of students who may </w:t>
      </w:r>
      <w:r w:rsidR="00D74F6E">
        <w:t xml:space="preserve">face suspensions or expulsions in </w:t>
      </w:r>
      <w:r w:rsidR="005E737C">
        <w:t>a</w:t>
      </w:r>
      <w:r w:rsidR="00D74F6E">
        <w:t xml:space="preserve"> calendar year</w:t>
      </w:r>
      <w:r w:rsidR="002A0DEE">
        <w:t xml:space="preserve">. </w:t>
      </w:r>
      <w:r w:rsidR="00202284">
        <w:t>Subsequent short</w:t>
      </w:r>
      <w:r w:rsidR="00732EC3">
        <w:t>-</w:t>
      </w:r>
      <w:r w:rsidR="00202284">
        <w:t>term and long</w:t>
      </w:r>
      <w:r w:rsidR="00732EC3">
        <w:t>-</w:t>
      </w:r>
      <w:r w:rsidR="00202284">
        <w:t xml:space="preserve">term outcomes </w:t>
      </w:r>
      <w:r w:rsidR="00732EC3">
        <w:t xml:space="preserve">use this cohort alongside other assumptions to estimate </w:t>
      </w:r>
      <w:r w:rsidR="00832A7B">
        <w:t>economic costs</w:t>
      </w:r>
      <w:r w:rsidR="00732EC3">
        <w:t xml:space="preserve"> of </w:t>
      </w:r>
      <w:r w:rsidR="00B51C5B">
        <w:t>suspensions</w:t>
      </w:r>
      <w:r w:rsidR="00F7429F">
        <w:t xml:space="preserve"> on</w:t>
      </w:r>
      <w:r w:rsidR="00732EC3">
        <w:t xml:space="preserve"> children with disability. </w:t>
      </w:r>
    </w:p>
    <w:p w14:paraId="443523B3" w14:textId="2A05FF82" w:rsidR="0064209F" w:rsidRDefault="0064209F" w:rsidP="00ED16E2">
      <w:pPr>
        <w:pStyle w:val="EYBodytextwithparaspace"/>
      </w:pPr>
      <w:r>
        <w:t xml:space="preserve">The following table is a summary of </w:t>
      </w:r>
      <w:r w:rsidR="00E641F2">
        <w:t xml:space="preserve">our main assumptions on </w:t>
      </w:r>
      <w:r w:rsidR="00846C12">
        <w:t xml:space="preserve">cohort data. </w:t>
      </w:r>
      <w:r w:rsidR="00E31E70">
        <w:t xml:space="preserve">Further detailed on </w:t>
      </w:r>
      <w:r w:rsidR="00846C12">
        <w:t>these figures can be found in</w:t>
      </w:r>
      <w:r w:rsidR="00BA1353">
        <w:t xml:space="preserve"> </w:t>
      </w:r>
      <w:r w:rsidR="00BA1353">
        <w:fldChar w:fldCharType="begin"/>
      </w:r>
      <w:r w:rsidR="00BA1353">
        <w:instrText xml:space="preserve"> REF _Ref165379469 \r \h </w:instrText>
      </w:r>
      <w:r w:rsidR="00BA1353">
        <w:fldChar w:fldCharType="separate"/>
      </w:r>
      <w:r w:rsidR="003948D2">
        <w:t>Appendix A</w:t>
      </w:r>
      <w:r w:rsidR="00BA1353">
        <w:fldChar w:fldCharType="end"/>
      </w:r>
      <w:r w:rsidR="00846C12">
        <w:t>.</w:t>
      </w:r>
    </w:p>
    <w:tbl>
      <w:tblPr>
        <w:tblStyle w:val="TableGrid"/>
        <w:tblW w:w="4070" w:type="pct"/>
        <w:tblLook w:val="04A0" w:firstRow="1" w:lastRow="0" w:firstColumn="1" w:lastColumn="0" w:noHBand="0" w:noVBand="1"/>
      </w:tblPr>
      <w:tblGrid>
        <w:gridCol w:w="5949"/>
        <w:gridCol w:w="1428"/>
      </w:tblGrid>
      <w:tr w:rsidR="00A70AA3" w:rsidRPr="00193957" w14:paraId="08951C72" w14:textId="77777777" w:rsidTr="00E31E70">
        <w:tc>
          <w:tcPr>
            <w:tcW w:w="4032" w:type="pct"/>
            <w:shd w:val="clear" w:color="auto" w:fill="A6A6A6" w:themeFill="background1" w:themeFillShade="A6"/>
            <w:vAlign w:val="center"/>
          </w:tcPr>
          <w:p w14:paraId="7FCD4412" w14:textId="77777777" w:rsidR="00A70AA3" w:rsidRPr="00193957" w:rsidRDefault="00A70AA3" w:rsidP="00BA1353">
            <w:pPr>
              <w:pStyle w:val="EYBodytextwithparaspace"/>
              <w:keepNext/>
              <w:spacing w:before="120" w:after="120"/>
              <w:rPr>
                <w:b/>
                <w:bCs/>
                <w:color w:val="FFFFFF" w:themeColor="background1"/>
                <w:sz w:val="22"/>
                <w:szCs w:val="22"/>
              </w:rPr>
            </w:pPr>
            <w:r w:rsidRPr="00193957">
              <w:rPr>
                <w:b/>
                <w:bCs/>
                <w:color w:val="FFFFFF" w:themeColor="background1"/>
                <w:sz w:val="22"/>
                <w:szCs w:val="22"/>
              </w:rPr>
              <w:lastRenderedPageBreak/>
              <w:t>Description</w:t>
            </w:r>
          </w:p>
        </w:tc>
        <w:tc>
          <w:tcPr>
            <w:tcW w:w="968" w:type="pct"/>
            <w:shd w:val="clear" w:color="auto" w:fill="A6A6A6" w:themeFill="background1" w:themeFillShade="A6"/>
            <w:vAlign w:val="center"/>
          </w:tcPr>
          <w:p w14:paraId="64BE2C26" w14:textId="0108458F" w:rsidR="00A70AA3" w:rsidRPr="00193957" w:rsidRDefault="00A70AA3" w:rsidP="00BA1353">
            <w:pPr>
              <w:pStyle w:val="EYBodytextwithparaspace"/>
              <w:keepNext/>
              <w:spacing w:before="120" w:after="120"/>
              <w:rPr>
                <w:b/>
                <w:bCs/>
                <w:color w:val="FFFFFF" w:themeColor="background1"/>
                <w:sz w:val="22"/>
                <w:szCs w:val="22"/>
              </w:rPr>
            </w:pPr>
            <w:r>
              <w:rPr>
                <w:b/>
                <w:bCs/>
                <w:color w:val="FFFFFF" w:themeColor="background1"/>
                <w:sz w:val="22"/>
                <w:szCs w:val="22"/>
              </w:rPr>
              <w:t>Data</w:t>
            </w:r>
          </w:p>
        </w:tc>
      </w:tr>
      <w:tr w:rsidR="00A70AA3" w14:paraId="18F56FBB" w14:textId="77777777" w:rsidTr="00E31E70">
        <w:tc>
          <w:tcPr>
            <w:tcW w:w="4032" w:type="pct"/>
            <w:vAlign w:val="center"/>
          </w:tcPr>
          <w:p w14:paraId="5B7108F8" w14:textId="38D895A2" w:rsidR="00A70AA3" w:rsidRDefault="002F4549" w:rsidP="00BA1353">
            <w:pPr>
              <w:pStyle w:val="EYBodytextwithparaspace"/>
              <w:keepNext/>
              <w:spacing w:before="120" w:after="120"/>
            </w:pPr>
            <w:r>
              <w:t>Number</w:t>
            </w:r>
            <w:r w:rsidR="00A70AA3">
              <w:t xml:space="preserve"> of students in QLD in 2023</w:t>
            </w:r>
          </w:p>
        </w:tc>
        <w:tc>
          <w:tcPr>
            <w:tcW w:w="968" w:type="pct"/>
            <w:vAlign w:val="center"/>
          </w:tcPr>
          <w:p w14:paraId="22240297" w14:textId="77777777" w:rsidR="00A70AA3" w:rsidRDefault="00A70AA3" w:rsidP="00BA1353">
            <w:pPr>
              <w:pStyle w:val="EYBodytextwithparaspace"/>
              <w:keepNext/>
              <w:spacing w:before="120" w:after="120"/>
              <w:jc w:val="center"/>
            </w:pPr>
            <w:r>
              <w:t>570,259</w:t>
            </w:r>
          </w:p>
        </w:tc>
      </w:tr>
      <w:tr w:rsidR="00A70AA3" w14:paraId="0ED2CC84" w14:textId="77777777" w:rsidTr="00E31E70">
        <w:tc>
          <w:tcPr>
            <w:tcW w:w="4032" w:type="pct"/>
            <w:tcBorders>
              <w:bottom w:val="single" w:sz="4" w:space="0" w:color="000000"/>
            </w:tcBorders>
            <w:vAlign w:val="center"/>
          </w:tcPr>
          <w:p w14:paraId="1109CC70" w14:textId="58683E74" w:rsidR="00A70AA3" w:rsidRDefault="007B7DF8" w:rsidP="00BA1353">
            <w:pPr>
              <w:pStyle w:val="EYBodytextwithparaspace"/>
              <w:keepNext/>
              <w:spacing w:before="120" w:after="120"/>
            </w:pPr>
            <w:r>
              <w:t>S</w:t>
            </w:r>
            <w:r w:rsidR="00A70AA3">
              <w:t xml:space="preserve">tudents in QLD with </w:t>
            </w:r>
            <w:r w:rsidR="006C7EF4">
              <w:t>a NCCD</w:t>
            </w:r>
            <w:r w:rsidR="00F35102">
              <w:t xml:space="preserve"> verified </w:t>
            </w:r>
            <w:r w:rsidR="00A70AA3">
              <w:t>disability in 2023</w:t>
            </w:r>
          </w:p>
        </w:tc>
        <w:tc>
          <w:tcPr>
            <w:tcW w:w="968" w:type="pct"/>
            <w:tcBorders>
              <w:bottom w:val="single" w:sz="4" w:space="0" w:color="000000"/>
            </w:tcBorders>
            <w:vAlign w:val="center"/>
          </w:tcPr>
          <w:p w14:paraId="35CA88D3" w14:textId="73AEC010" w:rsidR="0095717D" w:rsidRDefault="007B7DF8" w:rsidP="00BA1353">
            <w:pPr>
              <w:pStyle w:val="EYBodytextwithparaspace"/>
              <w:keepNext/>
              <w:spacing w:before="120" w:after="120"/>
              <w:jc w:val="center"/>
            </w:pPr>
            <w:r>
              <w:t>115,975</w:t>
            </w:r>
          </w:p>
          <w:p w14:paraId="250E39FA" w14:textId="5323D7C2" w:rsidR="00A70AA3" w:rsidRDefault="007B7DF8" w:rsidP="00BA1353">
            <w:pPr>
              <w:pStyle w:val="EYBodytextwithparaspace"/>
              <w:keepNext/>
              <w:spacing w:before="120" w:after="120"/>
              <w:jc w:val="center"/>
            </w:pPr>
            <w:r>
              <w:t>(</w:t>
            </w:r>
            <w:r w:rsidR="006C7EF4">
              <w:t>20.3</w:t>
            </w:r>
            <w:r w:rsidR="00A70AA3">
              <w:t>%</w:t>
            </w:r>
            <w:r>
              <w:t>)</w:t>
            </w:r>
          </w:p>
        </w:tc>
      </w:tr>
      <w:tr w:rsidR="00A70AA3" w14:paraId="6A1B2FF6" w14:textId="77777777" w:rsidTr="00E31E70">
        <w:tc>
          <w:tcPr>
            <w:tcW w:w="4032" w:type="pct"/>
            <w:tcBorders>
              <w:top w:val="single" w:sz="4" w:space="0" w:color="000000"/>
            </w:tcBorders>
            <w:vAlign w:val="center"/>
          </w:tcPr>
          <w:p w14:paraId="768D9846" w14:textId="62929A8A" w:rsidR="00A70AA3" w:rsidRDefault="007B7DF8" w:rsidP="00BA1353">
            <w:pPr>
              <w:pStyle w:val="EYBodytextwithparaspace"/>
              <w:keepNext/>
              <w:spacing w:before="120" w:after="120"/>
            </w:pPr>
            <w:r>
              <w:t>S</w:t>
            </w:r>
            <w:r w:rsidR="00A70AA3">
              <w:t xml:space="preserve">tudents in QLD </w:t>
            </w:r>
            <w:r w:rsidR="00083E98">
              <w:t>with a</w:t>
            </w:r>
            <w:r w:rsidR="006C7EF4">
              <w:t xml:space="preserve"> NCCD</w:t>
            </w:r>
            <w:r w:rsidR="00F35102">
              <w:t xml:space="preserve"> verified</w:t>
            </w:r>
            <w:r w:rsidR="00A70AA3">
              <w:t xml:space="preserve"> disability </w:t>
            </w:r>
            <w:r w:rsidR="00083E98">
              <w:t>who</w:t>
            </w:r>
            <w:r w:rsidR="00A70AA3">
              <w:t xml:space="preserve"> received a short suspension in 202</w:t>
            </w:r>
            <w:r w:rsidR="009571FF">
              <w:t>3</w:t>
            </w:r>
          </w:p>
        </w:tc>
        <w:tc>
          <w:tcPr>
            <w:tcW w:w="968" w:type="pct"/>
            <w:tcBorders>
              <w:top w:val="single" w:sz="4" w:space="0" w:color="000000"/>
            </w:tcBorders>
            <w:vAlign w:val="center"/>
          </w:tcPr>
          <w:p w14:paraId="74A2E4FA" w14:textId="21D339E8" w:rsidR="00A70AA3" w:rsidRDefault="00EA16B3" w:rsidP="00BA1353">
            <w:pPr>
              <w:pStyle w:val="EYBodytextwithparaspace"/>
              <w:keepNext/>
              <w:spacing w:before="120" w:after="120"/>
              <w:jc w:val="center"/>
            </w:pPr>
            <w:r>
              <w:t>16,118 (</w:t>
            </w:r>
            <w:r w:rsidR="009571FF">
              <w:t>13.</w:t>
            </w:r>
            <w:r w:rsidR="003D2CAE">
              <w:t>9</w:t>
            </w:r>
            <w:r w:rsidR="00A70AA3">
              <w:t>%</w:t>
            </w:r>
            <w:r>
              <w:t>)</w:t>
            </w:r>
          </w:p>
        </w:tc>
      </w:tr>
      <w:tr w:rsidR="00A70AA3" w14:paraId="25B2E079" w14:textId="77777777" w:rsidTr="00E31E70">
        <w:tc>
          <w:tcPr>
            <w:tcW w:w="4032" w:type="pct"/>
            <w:vAlign w:val="center"/>
          </w:tcPr>
          <w:p w14:paraId="6D213098" w14:textId="524CEB75" w:rsidR="00A70AA3" w:rsidRDefault="002F4549" w:rsidP="00BA1353">
            <w:pPr>
              <w:pStyle w:val="EYBodytextwithparaspace"/>
              <w:keepNext/>
              <w:spacing w:before="120" w:after="120"/>
            </w:pPr>
            <w:r>
              <w:t>Number</w:t>
            </w:r>
            <w:r w:rsidR="009571FF">
              <w:t xml:space="preserve"> of </w:t>
            </w:r>
            <w:r w:rsidR="006672FB">
              <w:t>school days missed per year for students with a</w:t>
            </w:r>
            <w:r w:rsidR="002A0DEE">
              <w:t xml:space="preserve"> NCCD </w:t>
            </w:r>
            <w:r w:rsidR="00F35102">
              <w:t>verified</w:t>
            </w:r>
            <w:r w:rsidR="006672FB">
              <w:t xml:space="preserve"> disability receiving suspensions</w:t>
            </w:r>
          </w:p>
        </w:tc>
        <w:tc>
          <w:tcPr>
            <w:tcW w:w="968" w:type="pct"/>
            <w:vAlign w:val="center"/>
          </w:tcPr>
          <w:p w14:paraId="445BF078" w14:textId="54018911" w:rsidR="00A70AA3" w:rsidRDefault="00922325" w:rsidP="00BA1353">
            <w:pPr>
              <w:pStyle w:val="EYBodytextwithparaspace"/>
              <w:keepNext/>
              <w:spacing w:before="120" w:after="120"/>
              <w:jc w:val="center"/>
            </w:pPr>
            <w:r>
              <w:t>107,112</w:t>
            </w:r>
          </w:p>
        </w:tc>
      </w:tr>
    </w:tbl>
    <w:p w14:paraId="3FDF73C8" w14:textId="77777777" w:rsidR="00F35102" w:rsidRDefault="00F35102" w:rsidP="00F35102">
      <w:pPr>
        <w:pStyle w:val="EYSubheading"/>
        <w:spacing w:after="0"/>
      </w:pPr>
    </w:p>
    <w:p w14:paraId="6D241EA0" w14:textId="56FDCBC6" w:rsidR="004F5FCB" w:rsidRDefault="004F5FCB" w:rsidP="004F5FCB">
      <w:pPr>
        <w:pStyle w:val="EYHeading2"/>
      </w:pPr>
      <w:bookmarkStart w:id="9" w:name="_Toc165390906"/>
      <w:r>
        <w:t xml:space="preserve">Short-term </w:t>
      </w:r>
      <w:r w:rsidR="005D67EC">
        <w:t>i</w:t>
      </w:r>
      <w:r>
        <w:t>mpacts</w:t>
      </w:r>
      <w:bookmarkEnd w:id="9"/>
    </w:p>
    <w:p w14:paraId="3818C703" w14:textId="3FE63231" w:rsidR="009E4A1F" w:rsidRDefault="00A82DD9" w:rsidP="00BA5BD0">
      <w:pPr>
        <w:pStyle w:val="EYBodytextwithparaspace"/>
      </w:pPr>
      <w:r>
        <w:t xml:space="preserve">We identified </w:t>
      </w:r>
      <w:r w:rsidR="00F40258">
        <w:t>several</w:t>
      </w:r>
      <w:r>
        <w:t xml:space="preserve"> s</w:t>
      </w:r>
      <w:r w:rsidR="00BA5BD0">
        <w:t>hort-term</w:t>
      </w:r>
      <w:r w:rsidR="00505D71">
        <w:t xml:space="preserve"> economic</w:t>
      </w:r>
      <w:r w:rsidR="00BA5BD0">
        <w:t xml:space="preserve"> impacts</w:t>
      </w:r>
      <w:r>
        <w:t xml:space="preserve"> </w:t>
      </w:r>
      <w:r w:rsidR="00AD04AF">
        <w:t>from</w:t>
      </w:r>
      <w:r>
        <w:t xml:space="preserve"> </w:t>
      </w:r>
      <w:r w:rsidR="009E4A1F">
        <w:t>suspensions in response to student behaviour, affecting</w:t>
      </w:r>
      <w:r w:rsidR="006A6E7C">
        <w:t xml:space="preserve"> students,</w:t>
      </w:r>
      <w:r w:rsidR="00004640">
        <w:t xml:space="preserve"> parents and</w:t>
      </w:r>
      <w:r w:rsidR="006A6E7C">
        <w:t xml:space="preserve"> carers and school</w:t>
      </w:r>
      <w:r w:rsidR="00004640">
        <w:t>s</w:t>
      </w:r>
      <w:r w:rsidR="00ED421B">
        <w:t>:</w:t>
      </w:r>
    </w:p>
    <w:p w14:paraId="3B958749" w14:textId="062DFDF2" w:rsidR="00C87BE3" w:rsidRDefault="00C87BE3" w:rsidP="00B302DB">
      <w:pPr>
        <w:pStyle w:val="EYBulletedText1"/>
      </w:pPr>
      <w:r>
        <w:t xml:space="preserve">When children are suspended, parents and carers </w:t>
      </w:r>
      <w:r w:rsidR="00C34D6B">
        <w:t>in a</w:t>
      </w:r>
      <w:r>
        <w:t xml:space="preserve"> full</w:t>
      </w:r>
      <w:r w:rsidR="005C20B3">
        <w:t>-</w:t>
      </w:r>
      <w:r>
        <w:t>time employed</w:t>
      </w:r>
      <w:r w:rsidR="00C34D6B">
        <w:t xml:space="preserve"> positio</w:t>
      </w:r>
      <w:r w:rsidR="00365164">
        <w:t>n</w:t>
      </w:r>
      <w:r>
        <w:t xml:space="preserve"> may need to take time off work to supervise their child, resulting </w:t>
      </w:r>
      <w:r w:rsidR="0026309D">
        <w:t xml:space="preserve">in </w:t>
      </w:r>
      <w:r w:rsidR="00505D71">
        <w:t xml:space="preserve">a loss of productivity to industry, </w:t>
      </w:r>
      <w:r w:rsidR="005C20B3">
        <w:t xml:space="preserve">which also represents </w:t>
      </w:r>
      <w:r w:rsidR="00505D71">
        <w:t>a loss of income to household</w:t>
      </w:r>
      <w:r w:rsidR="005C20B3">
        <w:t>s</w:t>
      </w:r>
      <w:r w:rsidR="00424F0D">
        <w:t>.</w:t>
      </w:r>
    </w:p>
    <w:p w14:paraId="0FC0E527" w14:textId="594B6166" w:rsidR="00C95819" w:rsidRDefault="00C95819" w:rsidP="00C95819">
      <w:pPr>
        <w:pStyle w:val="EYBulletedText1"/>
      </w:pPr>
      <w:r w:rsidRPr="003D75D2">
        <w:t xml:space="preserve">People with disabilities are known to be overrepresented in both youth justice and prison statistics. In our short-term calculations, we looked at the cost of providing supervised detention services and </w:t>
      </w:r>
      <w:r>
        <w:t>community-based supervision</w:t>
      </w:r>
      <w:r w:rsidRPr="003D75D2">
        <w:t xml:space="preserve"> orde</w:t>
      </w:r>
      <w:r>
        <w:t>rs to young people aged up to 18</w:t>
      </w:r>
      <w:r w:rsidRPr="003D75D2">
        <w:t>.</w:t>
      </w:r>
    </w:p>
    <w:p w14:paraId="77951C46" w14:textId="6F85B3CA" w:rsidR="007039C8" w:rsidRDefault="007039C8" w:rsidP="00C95819">
      <w:pPr>
        <w:pStyle w:val="EYBulletedText1"/>
      </w:pPr>
      <w:r w:rsidRPr="007039C8">
        <w:t>We estimated the number of additional students with disability who are not expected to achieve Year 12 school leaving qualifications due to their suspension history and disengagement with schooling, over and above the expected proportion of students with disability without Year 12 achievement.</w:t>
      </w:r>
      <w:r>
        <w:t xml:space="preserve"> This impact is the primary driver for longer term economic costs associated with lower employment and income.</w:t>
      </w:r>
    </w:p>
    <w:p w14:paraId="2EBD2964" w14:textId="6E843FEF" w:rsidR="00AD04AF" w:rsidRDefault="00AD04AF" w:rsidP="006C147E">
      <w:pPr>
        <w:autoSpaceDE/>
        <w:autoSpaceDN/>
        <w:adjustRightInd/>
      </w:pPr>
      <w:r>
        <w:t>The following table identifies</w:t>
      </w:r>
      <w:r w:rsidR="00E641F2">
        <w:t xml:space="preserve"> our </w:t>
      </w:r>
      <w:r w:rsidR="00CF3E9E">
        <w:t>findings</w:t>
      </w:r>
      <w:r>
        <w:t xml:space="preserve"> </w:t>
      </w:r>
      <w:r w:rsidR="00E641F2">
        <w:t>on short</w:t>
      </w:r>
      <w:r w:rsidR="00843D0B">
        <w:t>-</w:t>
      </w:r>
      <w:r w:rsidR="00E641F2">
        <w:t>term costs</w:t>
      </w:r>
      <w:r>
        <w:t>.</w:t>
      </w:r>
      <w:r w:rsidR="009D0119" w:rsidRPr="009D0119">
        <w:t xml:space="preserve"> </w:t>
      </w:r>
      <w:r w:rsidR="009A0005">
        <w:t>A b</w:t>
      </w:r>
      <w:r w:rsidR="009D0119">
        <w:t xml:space="preserve">reakdown of these figures can be found in </w:t>
      </w:r>
      <w:r w:rsidR="00C04799">
        <w:fldChar w:fldCharType="begin"/>
      </w:r>
      <w:r w:rsidR="00C04799">
        <w:instrText xml:space="preserve"> REF _Ref165323041 \r \h </w:instrText>
      </w:r>
      <w:r w:rsidR="00C04799">
        <w:fldChar w:fldCharType="separate"/>
      </w:r>
      <w:r w:rsidR="003948D2">
        <w:t>Appendix B</w:t>
      </w:r>
      <w:r w:rsidR="00C04799">
        <w:fldChar w:fldCharType="end"/>
      </w:r>
      <w:r w:rsidR="00C04799">
        <w:t>.</w:t>
      </w:r>
      <w:r w:rsidR="006C147E">
        <w:br/>
      </w:r>
    </w:p>
    <w:tbl>
      <w:tblPr>
        <w:tblStyle w:val="TableGrid"/>
        <w:tblW w:w="0" w:type="auto"/>
        <w:tblLook w:val="04A0" w:firstRow="1" w:lastRow="0" w:firstColumn="1" w:lastColumn="0" w:noHBand="0" w:noVBand="1"/>
      </w:tblPr>
      <w:tblGrid>
        <w:gridCol w:w="7540"/>
        <w:gridCol w:w="1457"/>
      </w:tblGrid>
      <w:tr w:rsidR="00B96A19" w:rsidRPr="00193957" w14:paraId="482C0BBB" w14:textId="77777777" w:rsidTr="00CB04BD">
        <w:trPr>
          <w:cantSplit/>
          <w:tblHeader/>
        </w:trPr>
        <w:tc>
          <w:tcPr>
            <w:tcW w:w="7540" w:type="dxa"/>
            <w:shd w:val="clear" w:color="auto" w:fill="A6A6A6" w:themeFill="background1" w:themeFillShade="A6"/>
            <w:vAlign w:val="center"/>
          </w:tcPr>
          <w:p w14:paraId="0EA8CEA4" w14:textId="77777777" w:rsidR="00B96A19" w:rsidRPr="00193957" w:rsidRDefault="00B96A19">
            <w:pPr>
              <w:pStyle w:val="EYBodytextwithparaspace"/>
              <w:spacing w:before="120" w:after="120"/>
              <w:rPr>
                <w:b/>
                <w:bCs/>
                <w:color w:val="FFFFFF" w:themeColor="background1"/>
                <w:sz w:val="22"/>
                <w:szCs w:val="22"/>
              </w:rPr>
            </w:pPr>
            <w:r w:rsidRPr="00193957">
              <w:rPr>
                <w:b/>
                <w:bCs/>
                <w:color w:val="FFFFFF" w:themeColor="background1"/>
                <w:sz w:val="22"/>
                <w:szCs w:val="22"/>
              </w:rPr>
              <w:t>Description</w:t>
            </w:r>
          </w:p>
        </w:tc>
        <w:tc>
          <w:tcPr>
            <w:tcW w:w="1457" w:type="dxa"/>
            <w:shd w:val="clear" w:color="auto" w:fill="A6A6A6" w:themeFill="background1" w:themeFillShade="A6"/>
            <w:vAlign w:val="center"/>
          </w:tcPr>
          <w:p w14:paraId="54B51467" w14:textId="77777777" w:rsidR="00B96A19" w:rsidRPr="00193957" w:rsidRDefault="00B96A19">
            <w:pPr>
              <w:pStyle w:val="EYBodytextwithparaspace"/>
              <w:spacing w:before="120" w:after="120"/>
              <w:rPr>
                <w:b/>
                <w:bCs/>
                <w:color w:val="FFFFFF" w:themeColor="background1"/>
                <w:sz w:val="22"/>
                <w:szCs w:val="22"/>
              </w:rPr>
            </w:pPr>
            <w:r>
              <w:rPr>
                <w:b/>
                <w:bCs/>
                <w:color w:val="FFFFFF" w:themeColor="background1"/>
                <w:sz w:val="22"/>
                <w:szCs w:val="22"/>
              </w:rPr>
              <w:t>Data</w:t>
            </w:r>
          </w:p>
        </w:tc>
      </w:tr>
      <w:tr w:rsidR="00214DD7" w:rsidRPr="00193957" w14:paraId="712F36A4" w14:textId="77777777" w:rsidTr="00CB04BD">
        <w:trPr>
          <w:cantSplit/>
        </w:trPr>
        <w:tc>
          <w:tcPr>
            <w:tcW w:w="7540" w:type="dxa"/>
            <w:shd w:val="clear" w:color="auto" w:fill="auto"/>
            <w:vAlign w:val="center"/>
          </w:tcPr>
          <w:p w14:paraId="1ED127DB" w14:textId="0C096F73" w:rsidR="004F0278" w:rsidRDefault="005930EA">
            <w:pPr>
              <w:pStyle w:val="EYBodytextwithparaspace"/>
              <w:spacing w:before="120" w:after="120"/>
            </w:pPr>
            <w:r>
              <w:t>Increase</w:t>
            </w:r>
            <w:r w:rsidR="004F0278">
              <w:t xml:space="preserve"> in the</w:t>
            </w:r>
            <w:r>
              <w:t xml:space="preserve"> number of </w:t>
            </w:r>
            <w:r w:rsidR="00D77A44">
              <w:t xml:space="preserve">students </w:t>
            </w:r>
            <w:r>
              <w:t>with NCCD verified disabilities who have had Youth Justice detentions by age 18</w:t>
            </w:r>
            <w:r w:rsidR="007C257E">
              <w:t xml:space="preserve"> associated with </w:t>
            </w:r>
            <w:r w:rsidR="006D1FD6">
              <w:t xml:space="preserve">their </w:t>
            </w:r>
            <w:r w:rsidR="007C257E">
              <w:t>suspension</w:t>
            </w:r>
            <w:r w:rsidR="006D1FD6">
              <w:t xml:space="preserve"> history</w:t>
            </w:r>
          </w:p>
          <w:p w14:paraId="3E889DDF" w14:textId="2DC1C9E6" w:rsidR="00214DD7" w:rsidRPr="00556460" w:rsidRDefault="004F0278">
            <w:pPr>
              <w:pStyle w:val="EYBodytextwithparaspace"/>
              <w:spacing w:before="120" w:after="120"/>
              <w:rPr>
                <w:i/>
                <w:iCs/>
              </w:rPr>
            </w:pPr>
            <w:r w:rsidRPr="00556460">
              <w:rPr>
                <w:i/>
                <w:iCs/>
              </w:rPr>
              <w:t xml:space="preserve">(This is </w:t>
            </w:r>
            <w:r w:rsidR="00453728" w:rsidRPr="00556460">
              <w:rPr>
                <w:i/>
                <w:iCs/>
              </w:rPr>
              <w:t>estimated based on the increased proportion of NCCD disability students</w:t>
            </w:r>
            <w:r w:rsidR="006D1FD6" w:rsidRPr="00556460">
              <w:rPr>
                <w:i/>
                <w:iCs/>
              </w:rPr>
              <w:t xml:space="preserve"> with suspensions</w:t>
            </w:r>
            <w:r w:rsidR="00453728" w:rsidRPr="00556460">
              <w:rPr>
                <w:i/>
                <w:iCs/>
              </w:rPr>
              <w:t xml:space="preserve"> who have YJ detention history by age 18, </w:t>
            </w:r>
            <w:r w:rsidR="005D5B1A" w:rsidRPr="00556460">
              <w:rPr>
                <w:i/>
                <w:iCs/>
              </w:rPr>
              <w:t xml:space="preserve">relative to </w:t>
            </w:r>
            <w:r w:rsidR="00453728" w:rsidRPr="00556460">
              <w:rPr>
                <w:i/>
                <w:iCs/>
              </w:rPr>
              <w:t xml:space="preserve">the </w:t>
            </w:r>
            <w:r w:rsidR="005D5B1A" w:rsidRPr="00556460">
              <w:rPr>
                <w:i/>
                <w:iCs/>
              </w:rPr>
              <w:t xml:space="preserve">proportion for </w:t>
            </w:r>
            <w:r w:rsidR="00453728" w:rsidRPr="00556460">
              <w:rPr>
                <w:i/>
                <w:iCs/>
              </w:rPr>
              <w:t xml:space="preserve">other NCCD disability students who have </w:t>
            </w:r>
            <w:r w:rsidR="005D5B1A" w:rsidRPr="00556460">
              <w:rPr>
                <w:i/>
                <w:iCs/>
              </w:rPr>
              <w:t>no suspension history</w:t>
            </w:r>
            <w:r w:rsidR="00453728" w:rsidRPr="00556460">
              <w:rPr>
                <w:i/>
                <w:iCs/>
              </w:rPr>
              <w:t>)</w:t>
            </w:r>
          </w:p>
        </w:tc>
        <w:tc>
          <w:tcPr>
            <w:tcW w:w="1457" w:type="dxa"/>
            <w:shd w:val="clear" w:color="auto" w:fill="auto"/>
            <w:vAlign w:val="center"/>
          </w:tcPr>
          <w:p w14:paraId="1A1D4D67" w14:textId="3ED33924" w:rsidR="00214DD7" w:rsidRPr="00520EA4" w:rsidRDefault="00340F63" w:rsidP="00F460E1">
            <w:pPr>
              <w:pStyle w:val="EYBodytextwithparaspace"/>
              <w:spacing w:before="120" w:after="120"/>
              <w:jc w:val="center"/>
            </w:pPr>
            <w:r>
              <w:t xml:space="preserve">Between </w:t>
            </w:r>
            <w:r w:rsidR="00266A0C">
              <w:br/>
            </w:r>
            <w:r>
              <w:t xml:space="preserve">91 - </w:t>
            </w:r>
            <w:r w:rsidR="005D5B1A">
              <w:t>16</w:t>
            </w:r>
            <w:r w:rsidR="006606CB">
              <w:t>3</w:t>
            </w:r>
          </w:p>
        </w:tc>
      </w:tr>
      <w:tr w:rsidR="006606CB" w:rsidRPr="00193957" w14:paraId="513C756B" w14:textId="77777777" w:rsidTr="00CB04BD">
        <w:trPr>
          <w:cantSplit/>
        </w:trPr>
        <w:tc>
          <w:tcPr>
            <w:tcW w:w="7540" w:type="dxa"/>
            <w:shd w:val="clear" w:color="auto" w:fill="auto"/>
            <w:vAlign w:val="center"/>
          </w:tcPr>
          <w:p w14:paraId="33B690B9" w14:textId="69032ED2" w:rsidR="006606CB" w:rsidRDefault="006606CB">
            <w:pPr>
              <w:pStyle w:val="EYBodytextwithparaspace"/>
              <w:spacing w:before="120" w:after="120"/>
            </w:pPr>
            <w:r>
              <w:t xml:space="preserve">Total </w:t>
            </w:r>
            <w:r w:rsidR="003D75D2">
              <w:t>number</w:t>
            </w:r>
            <w:r>
              <w:t xml:space="preserve"> of detention sentences from students with NCCD verified disabilities </w:t>
            </w:r>
            <w:r w:rsidR="00063839">
              <w:t xml:space="preserve">and suspensions </w:t>
            </w:r>
            <w:r>
              <w:t>by age 18</w:t>
            </w:r>
          </w:p>
        </w:tc>
        <w:tc>
          <w:tcPr>
            <w:tcW w:w="1457" w:type="dxa"/>
            <w:shd w:val="clear" w:color="auto" w:fill="auto"/>
            <w:vAlign w:val="center"/>
          </w:tcPr>
          <w:p w14:paraId="7DDAE2D1" w14:textId="0A02DE6D" w:rsidR="006606CB" w:rsidRDefault="00266A0C" w:rsidP="00F460E1">
            <w:pPr>
              <w:pStyle w:val="EYBodytextwithparaspace"/>
              <w:spacing w:before="120" w:after="120"/>
              <w:jc w:val="center"/>
            </w:pPr>
            <w:r>
              <w:t xml:space="preserve">Between </w:t>
            </w:r>
            <w:r>
              <w:br/>
              <w:t>1</w:t>
            </w:r>
            <w:r w:rsidR="00AA3697">
              <w:t>65</w:t>
            </w:r>
            <w:r>
              <w:t xml:space="preserve"> </w:t>
            </w:r>
            <w:r w:rsidR="00AA3697">
              <w:t>–</w:t>
            </w:r>
            <w:r>
              <w:t xml:space="preserve"> </w:t>
            </w:r>
            <w:r w:rsidR="006606CB">
              <w:t>2</w:t>
            </w:r>
            <w:r w:rsidR="00AA3697">
              <w:t>96</w:t>
            </w:r>
          </w:p>
        </w:tc>
      </w:tr>
      <w:tr w:rsidR="006606CB" w:rsidRPr="00193957" w14:paraId="5A1A9E35" w14:textId="77777777" w:rsidTr="00CB04BD">
        <w:trPr>
          <w:cantSplit/>
        </w:trPr>
        <w:tc>
          <w:tcPr>
            <w:tcW w:w="7540" w:type="dxa"/>
            <w:shd w:val="clear" w:color="auto" w:fill="auto"/>
            <w:vAlign w:val="center"/>
          </w:tcPr>
          <w:p w14:paraId="18BA0450" w14:textId="29DC1990" w:rsidR="006606CB" w:rsidRDefault="00266A0C">
            <w:pPr>
              <w:pStyle w:val="EYBodytextwithparaspace"/>
              <w:spacing w:before="120" w:after="120"/>
            </w:pPr>
            <w:r>
              <w:t xml:space="preserve">Annual </w:t>
            </w:r>
            <w:r w:rsidR="000E3614">
              <w:t xml:space="preserve">Youth Justice detention </w:t>
            </w:r>
            <w:r w:rsidR="00241854">
              <w:t>cost</w:t>
            </w:r>
            <w:r w:rsidR="000E3614">
              <w:t xml:space="preserve"> </w:t>
            </w:r>
            <w:r w:rsidR="001B0F47">
              <w:t>for suspended students aged 14-17</w:t>
            </w:r>
          </w:p>
        </w:tc>
        <w:tc>
          <w:tcPr>
            <w:tcW w:w="1457" w:type="dxa"/>
            <w:shd w:val="clear" w:color="auto" w:fill="auto"/>
            <w:vAlign w:val="center"/>
          </w:tcPr>
          <w:p w14:paraId="3344310D" w14:textId="4D30E6C1" w:rsidR="006606CB" w:rsidRDefault="004446D7" w:rsidP="00F460E1">
            <w:pPr>
              <w:pStyle w:val="EYBodytextwithparaspace"/>
              <w:spacing w:before="120" w:after="120"/>
              <w:jc w:val="center"/>
            </w:pPr>
            <w:r>
              <w:t>$</w:t>
            </w:r>
            <w:r w:rsidR="00A00B99">
              <w:t>4</w:t>
            </w:r>
            <w:r>
              <w:t>.</w:t>
            </w:r>
            <w:r w:rsidR="00A00B99">
              <w:t>1</w:t>
            </w:r>
            <w:r>
              <w:t xml:space="preserve"> -</w:t>
            </w:r>
            <w:r w:rsidR="0004065B">
              <w:t xml:space="preserve"> </w:t>
            </w:r>
            <w:r w:rsidR="00A00B99">
              <w:t>7</w:t>
            </w:r>
            <w:r>
              <w:t>.</w:t>
            </w:r>
            <w:r w:rsidR="00A00B99">
              <w:t>4</w:t>
            </w:r>
            <w:r>
              <w:t>m</w:t>
            </w:r>
          </w:p>
        </w:tc>
      </w:tr>
      <w:tr w:rsidR="003B3535" w:rsidRPr="00193957" w14:paraId="0DC7FF1D" w14:textId="77777777" w:rsidTr="00CB04BD">
        <w:trPr>
          <w:cantSplit/>
        </w:trPr>
        <w:tc>
          <w:tcPr>
            <w:tcW w:w="7540" w:type="dxa"/>
            <w:shd w:val="clear" w:color="auto" w:fill="auto"/>
            <w:vAlign w:val="center"/>
          </w:tcPr>
          <w:p w14:paraId="5AF3FFE1" w14:textId="1DC50D8E" w:rsidR="003B3535" w:rsidRDefault="007C1726">
            <w:pPr>
              <w:pStyle w:val="EYBodytextwithparaspace"/>
              <w:spacing w:before="120" w:after="120"/>
            </w:pPr>
            <w:r>
              <w:lastRenderedPageBreak/>
              <w:t>Increase in the n</w:t>
            </w:r>
            <w:r w:rsidR="00D70108">
              <w:t xml:space="preserve">umber of students with NCCD verified disabilities </w:t>
            </w:r>
            <w:r>
              <w:t xml:space="preserve">who have had </w:t>
            </w:r>
            <w:r w:rsidR="00EB45DD">
              <w:t xml:space="preserve">Youth Justice </w:t>
            </w:r>
            <w:r w:rsidR="006A5275">
              <w:t xml:space="preserve">community-based supervision </w:t>
            </w:r>
            <w:r w:rsidR="00290046">
              <w:t>order</w:t>
            </w:r>
            <w:r w:rsidR="000F0118">
              <w:t>(s)</w:t>
            </w:r>
            <w:r w:rsidR="00290046">
              <w:t xml:space="preserve"> by age 18</w:t>
            </w:r>
            <w:r>
              <w:t xml:space="preserve"> associated with their suspension history</w:t>
            </w:r>
          </w:p>
          <w:p w14:paraId="00BA64F1" w14:textId="77777777" w:rsidR="00D50B83" w:rsidRDefault="007C1726">
            <w:pPr>
              <w:pStyle w:val="EYBodytextwithparaspace"/>
              <w:spacing w:before="120" w:after="120"/>
              <w:rPr>
                <w:i/>
                <w:iCs/>
              </w:rPr>
            </w:pPr>
            <w:r w:rsidRPr="00556460">
              <w:rPr>
                <w:i/>
                <w:iCs/>
              </w:rPr>
              <w:t xml:space="preserve">(This is estimated based on the increased proportion of NCCD disability students with suspensions who have YJ </w:t>
            </w:r>
            <w:r w:rsidR="006A5275">
              <w:rPr>
                <w:i/>
                <w:iCs/>
              </w:rPr>
              <w:t xml:space="preserve">community-based supervision </w:t>
            </w:r>
            <w:r w:rsidRPr="00556460">
              <w:rPr>
                <w:i/>
                <w:iCs/>
              </w:rPr>
              <w:t>order history by age 18, relative to the proportion for other NCCD disability students who have no suspension history</w:t>
            </w:r>
            <w:r w:rsidR="006A5275">
              <w:rPr>
                <w:i/>
                <w:iCs/>
              </w:rPr>
              <w:t>.</w:t>
            </w:r>
            <w:r w:rsidR="00D50B83">
              <w:rPr>
                <w:i/>
                <w:iCs/>
              </w:rPr>
              <w:t xml:space="preserve"> </w:t>
            </w:r>
          </w:p>
          <w:p w14:paraId="176A11AC" w14:textId="31D279F4" w:rsidR="007C1726" w:rsidRPr="00556460" w:rsidRDefault="00D50B83">
            <w:pPr>
              <w:pStyle w:val="EYBodytextwithparaspace"/>
              <w:spacing w:before="120" w:after="120"/>
              <w:rPr>
                <w:i/>
                <w:iCs/>
              </w:rPr>
            </w:pPr>
            <w:r>
              <w:rPr>
                <w:i/>
                <w:iCs/>
              </w:rPr>
              <w:t>Note that this will include some students who also have Youth Justice detention</w:t>
            </w:r>
            <w:r w:rsidR="003B0163">
              <w:rPr>
                <w:i/>
                <w:iCs/>
              </w:rPr>
              <w:t xml:space="preserve"> orders.</w:t>
            </w:r>
            <w:r w:rsidR="007C1726" w:rsidRPr="00556460">
              <w:rPr>
                <w:i/>
                <w:iCs/>
              </w:rPr>
              <w:t>)</w:t>
            </w:r>
          </w:p>
        </w:tc>
        <w:tc>
          <w:tcPr>
            <w:tcW w:w="1457" w:type="dxa"/>
            <w:shd w:val="clear" w:color="auto" w:fill="auto"/>
            <w:vAlign w:val="center"/>
          </w:tcPr>
          <w:p w14:paraId="5B34A5C3" w14:textId="1DABFDEB" w:rsidR="003B3535" w:rsidRDefault="00290046" w:rsidP="00F460E1">
            <w:pPr>
              <w:pStyle w:val="EYBodytextwithparaspace"/>
              <w:spacing w:before="120" w:after="120"/>
              <w:jc w:val="center"/>
            </w:pPr>
            <w:r>
              <w:t xml:space="preserve">Between </w:t>
            </w:r>
            <w:r w:rsidR="00E2205B">
              <w:br/>
            </w:r>
            <w:r w:rsidR="00240638">
              <w:t>1</w:t>
            </w:r>
            <w:r w:rsidR="004757C7">
              <w:t>66</w:t>
            </w:r>
            <w:r w:rsidR="008174FE">
              <w:t xml:space="preserve"> </w:t>
            </w:r>
            <w:r w:rsidR="003E47A8">
              <w:t>–</w:t>
            </w:r>
            <w:r w:rsidR="00240638">
              <w:t xml:space="preserve"> </w:t>
            </w:r>
            <w:r w:rsidR="003E47A8">
              <w:t>298</w:t>
            </w:r>
          </w:p>
        </w:tc>
      </w:tr>
      <w:tr w:rsidR="00E2205B" w:rsidRPr="00193957" w14:paraId="0ED7BF52" w14:textId="77777777" w:rsidTr="00CB04BD">
        <w:trPr>
          <w:cantSplit/>
        </w:trPr>
        <w:tc>
          <w:tcPr>
            <w:tcW w:w="7540" w:type="dxa"/>
            <w:shd w:val="clear" w:color="auto" w:fill="auto"/>
            <w:vAlign w:val="center"/>
          </w:tcPr>
          <w:p w14:paraId="1B34DD9A" w14:textId="05829D17" w:rsidR="00E2205B" w:rsidRDefault="00E2205B">
            <w:pPr>
              <w:pStyle w:val="EYBodytextwithparaspace"/>
              <w:spacing w:before="120" w:after="120"/>
            </w:pPr>
            <w:r>
              <w:t>Total number of Youth Justice order contact from students with NCCD verified disabilities ever suspended by age 18</w:t>
            </w:r>
          </w:p>
        </w:tc>
        <w:tc>
          <w:tcPr>
            <w:tcW w:w="1457" w:type="dxa"/>
            <w:shd w:val="clear" w:color="auto" w:fill="auto"/>
            <w:vAlign w:val="center"/>
          </w:tcPr>
          <w:p w14:paraId="56261A9C" w14:textId="2002643D" w:rsidR="00E2205B" w:rsidRDefault="00E2205B" w:rsidP="00F460E1">
            <w:pPr>
              <w:pStyle w:val="EYBodytextwithparaspace"/>
              <w:spacing w:before="120" w:after="120"/>
              <w:jc w:val="center"/>
            </w:pPr>
            <w:r>
              <w:t xml:space="preserve">Between </w:t>
            </w:r>
            <w:r w:rsidR="00661319">
              <w:br/>
            </w:r>
            <w:r w:rsidR="003E47A8">
              <w:t>206</w:t>
            </w:r>
            <w:r w:rsidR="00DF7D4E">
              <w:t xml:space="preserve"> </w:t>
            </w:r>
            <w:r w:rsidR="003363FE">
              <w:t>–</w:t>
            </w:r>
            <w:r w:rsidR="00DF7D4E">
              <w:t xml:space="preserve"> </w:t>
            </w:r>
            <w:r w:rsidR="00661319">
              <w:t>3</w:t>
            </w:r>
            <w:r w:rsidR="00F26F6F">
              <w:t>70</w:t>
            </w:r>
          </w:p>
        </w:tc>
      </w:tr>
      <w:tr w:rsidR="00C4235A" w:rsidRPr="00193957" w14:paraId="371ABAD5" w14:textId="77777777" w:rsidTr="00CB04BD">
        <w:trPr>
          <w:cantSplit/>
        </w:trPr>
        <w:tc>
          <w:tcPr>
            <w:tcW w:w="7540" w:type="dxa"/>
            <w:shd w:val="clear" w:color="auto" w:fill="auto"/>
            <w:vAlign w:val="center"/>
          </w:tcPr>
          <w:p w14:paraId="445D581C" w14:textId="04B8F5CE" w:rsidR="00C4235A" w:rsidRDefault="0033514E">
            <w:pPr>
              <w:pStyle w:val="EYBodytextwithparaspace"/>
              <w:spacing w:before="120" w:after="120"/>
            </w:pPr>
            <w:r>
              <w:t>Annual Youth Justice supervision order cost for suspended students aged 14 – 17</w:t>
            </w:r>
          </w:p>
        </w:tc>
        <w:tc>
          <w:tcPr>
            <w:tcW w:w="1457" w:type="dxa"/>
            <w:shd w:val="clear" w:color="auto" w:fill="auto"/>
            <w:vAlign w:val="center"/>
          </w:tcPr>
          <w:p w14:paraId="4C0A02D0" w14:textId="325C7642" w:rsidR="00C4235A" w:rsidRDefault="0033514E" w:rsidP="00F460E1">
            <w:pPr>
              <w:pStyle w:val="EYBodytextwithparaspace"/>
              <w:spacing w:before="120" w:after="120"/>
              <w:jc w:val="center"/>
            </w:pPr>
            <w:r>
              <w:t>$1.4</w:t>
            </w:r>
            <w:r w:rsidR="0004065B">
              <w:t xml:space="preserve"> – 2.</w:t>
            </w:r>
            <w:r w:rsidR="00F26F6F">
              <w:t>6</w:t>
            </w:r>
            <w:r w:rsidR="0004065B">
              <w:t>m</w:t>
            </w:r>
          </w:p>
        </w:tc>
      </w:tr>
      <w:tr w:rsidR="00B96A19" w14:paraId="5FCE6BDD" w14:textId="77777777" w:rsidTr="00CB04BD">
        <w:trPr>
          <w:cantSplit/>
        </w:trPr>
        <w:tc>
          <w:tcPr>
            <w:tcW w:w="7540" w:type="dxa"/>
            <w:vAlign w:val="center"/>
          </w:tcPr>
          <w:p w14:paraId="7354DFDE" w14:textId="3F90006D" w:rsidR="00B96A19" w:rsidRDefault="00661319" w:rsidP="000115DF">
            <w:pPr>
              <w:pStyle w:val="EYBodytextwithparaspace"/>
              <w:spacing w:before="120" w:after="120"/>
            </w:pPr>
            <w:r>
              <w:t>Number</w:t>
            </w:r>
            <w:r w:rsidR="00B96A19">
              <w:t xml:space="preserve"> of days of employment missed by parents/carers of children with disability </w:t>
            </w:r>
          </w:p>
        </w:tc>
        <w:tc>
          <w:tcPr>
            <w:tcW w:w="1457" w:type="dxa"/>
            <w:shd w:val="clear" w:color="auto" w:fill="auto"/>
            <w:vAlign w:val="center"/>
          </w:tcPr>
          <w:p w14:paraId="686B7E77" w14:textId="6FBA8065" w:rsidR="00B96A19" w:rsidRDefault="004A4512" w:rsidP="00647579">
            <w:pPr>
              <w:pStyle w:val="EYBodytextwithparaspace"/>
              <w:spacing w:before="120" w:after="120"/>
              <w:jc w:val="center"/>
            </w:pPr>
            <w:r>
              <w:t>75,942</w:t>
            </w:r>
          </w:p>
        </w:tc>
      </w:tr>
      <w:tr w:rsidR="00C74459" w14:paraId="3DF11B37" w14:textId="77777777" w:rsidTr="00CB04BD">
        <w:trPr>
          <w:cantSplit/>
        </w:trPr>
        <w:tc>
          <w:tcPr>
            <w:tcW w:w="7540" w:type="dxa"/>
            <w:vAlign w:val="center"/>
          </w:tcPr>
          <w:p w14:paraId="32E20C48" w14:textId="6F712BC2" w:rsidR="00C74459" w:rsidRDefault="00AE0BF7" w:rsidP="000115DF">
            <w:pPr>
              <w:pStyle w:val="EYBodytextwithparaspace"/>
              <w:spacing w:before="120" w:after="120"/>
            </w:pPr>
            <w:r>
              <w:t>Annual cost for parents/carers who have lost days of employment to monitor and pick up their child</w:t>
            </w:r>
          </w:p>
        </w:tc>
        <w:tc>
          <w:tcPr>
            <w:tcW w:w="1457" w:type="dxa"/>
            <w:shd w:val="clear" w:color="auto" w:fill="auto"/>
            <w:vAlign w:val="center"/>
          </w:tcPr>
          <w:p w14:paraId="24FDF6C8" w14:textId="5E4BDA14" w:rsidR="00C74459" w:rsidRDefault="00D25FB6" w:rsidP="00647579">
            <w:pPr>
              <w:pStyle w:val="EYBodytextwithparaspace"/>
              <w:spacing w:before="120" w:after="120"/>
              <w:jc w:val="center"/>
            </w:pPr>
            <w:r>
              <w:t>$</w:t>
            </w:r>
            <w:r w:rsidR="004A4512">
              <w:t>14</w:t>
            </w:r>
            <w:r w:rsidR="00C5613D">
              <w:t>.1m</w:t>
            </w:r>
          </w:p>
        </w:tc>
      </w:tr>
      <w:tr w:rsidR="008D1DF9" w14:paraId="1825C356" w14:textId="77777777" w:rsidTr="00CB04BD">
        <w:trPr>
          <w:cantSplit/>
        </w:trPr>
        <w:tc>
          <w:tcPr>
            <w:tcW w:w="7540" w:type="dxa"/>
            <w:tcBorders>
              <w:top w:val="single" w:sz="4" w:space="0" w:color="000000"/>
              <w:left w:val="single" w:sz="4" w:space="0" w:color="000000"/>
              <w:bottom w:val="single" w:sz="4" w:space="0" w:color="000000"/>
              <w:right w:val="single" w:sz="4" w:space="0" w:color="000000"/>
            </w:tcBorders>
            <w:vAlign w:val="center"/>
          </w:tcPr>
          <w:p w14:paraId="413E5E10" w14:textId="5924DA52" w:rsidR="008D1DF9" w:rsidRDefault="00A51748" w:rsidP="000115DF">
            <w:pPr>
              <w:pStyle w:val="EYBodytextwithparaspace"/>
              <w:spacing w:before="120" w:after="120"/>
            </w:pPr>
            <w:r>
              <w:t>Number</w:t>
            </w:r>
            <w:r w:rsidR="008D1DF9">
              <w:t xml:space="preserve"> of children with disabilities receiving suspensions who do not complete Year 12</w:t>
            </w:r>
          </w:p>
        </w:tc>
        <w:tc>
          <w:tcPr>
            <w:tcW w:w="1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B5698" w14:textId="4A9FA3B4" w:rsidR="008D1DF9" w:rsidRDefault="007A6054" w:rsidP="00D566D5">
            <w:pPr>
              <w:pStyle w:val="EYBodytextwithparaspace"/>
              <w:spacing w:before="120" w:after="120"/>
              <w:jc w:val="center"/>
            </w:pPr>
            <w:r>
              <w:t>2</w:t>
            </w:r>
            <w:r w:rsidR="00597F2E">
              <w:t>,9</w:t>
            </w:r>
            <w:r>
              <w:t>17</w:t>
            </w:r>
          </w:p>
        </w:tc>
      </w:tr>
      <w:tr w:rsidR="00780769" w14:paraId="2FD05193" w14:textId="77777777" w:rsidTr="00CB04BD">
        <w:trPr>
          <w:cantSplit/>
        </w:trPr>
        <w:tc>
          <w:tcPr>
            <w:tcW w:w="7540" w:type="dxa"/>
            <w:tcBorders>
              <w:top w:val="single" w:sz="4" w:space="0" w:color="000000"/>
              <w:left w:val="single" w:sz="4" w:space="0" w:color="000000"/>
              <w:bottom w:val="single" w:sz="4" w:space="0" w:color="000000"/>
              <w:right w:val="single" w:sz="4" w:space="0" w:color="000000"/>
            </w:tcBorders>
            <w:vAlign w:val="center"/>
          </w:tcPr>
          <w:p w14:paraId="51D8AD2E" w14:textId="257F0414" w:rsidR="00780769" w:rsidRDefault="00A51748" w:rsidP="000115DF">
            <w:pPr>
              <w:pStyle w:val="EYBodytextwithparaspace"/>
              <w:spacing w:before="120" w:after="120"/>
            </w:pPr>
            <w:r>
              <w:t>Number</w:t>
            </w:r>
            <w:r w:rsidR="00780769">
              <w:t xml:space="preserve"> of students in Year 9 – 12 </w:t>
            </w:r>
            <w:r w:rsidR="002A3733">
              <w:t xml:space="preserve">with a disability and short suspensions </w:t>
            </w:r>
            <w:r w:rsidR="00E40424" w:rsidRPr="00E40424">
              <w:t xml:space="preserve">estimated to achieve NAPLAN proficiency bands at or below the National Minimum Standard in </w:t>
            </w:r>
            <w:r w:rsidR="00CB48AC">
              <w:br/>
            </w:r>
            <w:r w:rsidR="00E40424" w:rsidRPr="00E40424">
              <w:t>Year 9</w:t>
            </w:r>
          </w:p>
        </w:tc>
        <w:tc>
          <w:tcPr>
            <w:tcW w:w="1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78A7F7" w14:textId="0445EEAD" w:rsidR="00780769" w:rsidRDefault="007A6054" w:rsidP="00D566D5">
            <w:pPr>
              <w:pStyle w:val="EYBodytextwithparaspace"/>
              <w:spacing w:before="120" w:after="120"/>
              <w:jc w:val="center"/>
            </w:pPr>
            <w:r>
              <w:t>2,759</w:t>
            </w:r>
          </w:p>
        </w:tc>
      </w:tr>
    </w:tbl>
    <w:p w14:paraId="731347F5" w14:textId="77777777" w:rsidR="009A0005" w:rsidRDefault="009A0005" w:rsidP="009A0005">
      <w:pPr>
        <w:pStyle w:val="EYSubheading"/>
      </w:pPr>
    </w:p>
    <w:p w14:paraId="220DB2BC" w14:textId="3A253992" w:rsidR="009A0005" w:rsidRDefault="004015AC" w:rsidP="009A0005">
      <w:pPr>
        <w:pStyle w:val="EYSubheading"/>
      </w:pPr>
      <w:r>
        <w:t>A</w:t>
      </w:r>
      <w:r w:rsidR="009A0005">
        <w:t>ttribution factor</w:t>
      </w:r>
    </w:p>
    <w:p w14:paraId="03FF1151" w14:textId="77777777" w:rsidR="009A0005" w:rsidRDefault="009A0005" w:rsidP="00BA5BD0">
      <w:pPr>
        <w:pStyle w:val="EYBodytextwithparaspace"/>
      </w:pPr>
      <w:r>
        <w:t>It is important to note that these results are based on a 100% attribution factor on the following:</w:t>
      </w:r>
    </w:p>
    <w:p w14:paraId="732DDD95" w14:textId="1E8D536C" w:rsidR="00F1408F" w:rsidRDefault="00F1408F" w:rsidP="00F72DD8">
      <w:pPr>
        <w:pStyle w:val="EYBulletedText1"/>
        <w:rPr>
          <w:lang w:eastAsia="en-AU"/>
        </w:rPr>
      </w:pPr>
      <w:r>
        <w:rPr>
          <w:lang w:eastAsia="en-AU"/>
        </w:rPr>
        <w:t xml:space="preserve">That 100% of parents and carers will take time off work (if they are </w:t>
      </w:r>
      <w:r w:rsidR="00B93E4B">
        <w:rPr>
          <w:lang w:eastAsia="en-AU"/>
        </w:rPr>
        <w:t xml:space="preserve">full-time </w:t>
      </w:r>
      <w:r>
        <w:rPr>
          <w:lang w:eastAsia="en-AU"/>
        </w:rPr>
        <w:t xml:space="preserve">employed) </w:t>
      </w:r>
      <w:r w:rsidR="00B93E4B">
        <w:rPr>
          <w:lang w:eastAsia="en-AU"/>
        </w:rPr>
        <w:t>for th</w:t>
      </w:r>
      <w:r w:rsidR="006E27A1">
        <w:rPr>
          <w:lang w:eastAsia="en-AU"/>
        </w:rPr>
        <w:t>e</w:t>
      </w:r>
      <w:r w:rsidR="00B93E4B">
        <w:rPr>
          <w:lang w:eastAsia="en-AU"/>
        </w:rPr>
        <w:t xml:space="preserve"> duration of the suspension</w:t>
      </w:r>
      <w:r w:rsidR="006E27A1">
        <w:rPr>
          <w:lang w:eastAsia="en-AU"/>
        </w:rPr>
        <w:t>.</w:t>
      </w:r>
    </w:p>
    <w:p w14:paraId="5BA1123A" w14:textId="7C7D5C85" w:rsidR="006D7049" w:rsidRDefault="00780769" w:rsidP="006D7049">
      <w:pPr>
        <w:pStyle w:val="EYBulletedText1"/>
        <w:rPr>
          <w:lang w:eastAsia="en-AU"/>
        </w:rPr>
      </w:pPr>
      <w:r>
        <w:rPr>
          <w:lang w:eastAsia="en-AU"/>
        </w:rPr>
        <w:t xml:space="preserve">That </w:t>
      </w:r>
      <w:r w:rsidR="00A405EC">
        <w:rPr>
          <w:lang w:eastAsia="en-AU"/>
        </w:rPr>
        <w:t>the increased proportion of students with suspensions who do not meet</w:t>
      </w:r>
      <w:r w:rsidR="00EC6631">
        <w:rPr>
          <w:lang w:eastAsia="en-AU"/>
        </w:rPr>
        <w:t xml:space="preserve"> the </w:t>
      </w:r>
      <w:r w:rsidR="000F34EC" w:rsidRPr="000F34EC">
        <w:rPr>
          <w:lang w:eastAsia="en-AU"/>
        </w:rPr>
        <w:t xml:space="preserve">National Minimum Standard </w:t>
      </w:r>
      <w:r w:rsidR="00EC6631">
        <w:rPr>
          <w:lang w:eastAsia="en-AU"/>
        </w:rPr>
        <w:t xml:space="preserve">of NAPLAN </w:t>
      </w:r>
      <w:r w:rsidR="005C6A2C">
        <w:rPr>
          <w:lang w:eastAsia="en-AU"/>
        </w:rPr>
        <w:t>in Year 9</w:t>
      </w:r>
      <w:r w:rsidR="00A405EC">
        <w:rPr>
          <w:lang w:eastAsia="en-AU"/>
        </w:rPr>
        <w:t xml:space="preserve"> is 100% attributable to suspensions and related school disengagement</w:t>
      </w:r>
    </w:p>
    <w:p w14:paraId="55C49059" w14:textId="58B5EF3A" w:rsidR="00A405EC" w:rsidRDefault="00A405EC" w:rsidP="00A405EC">
      <w:pPr>
        <w:pStyle w:val="EYBulletedText1"/>
        <w:rPr>
          <w:lang w:eastAsia="en-AU"/>
        </w:rPr>
      </w:pPr>
      <w:r>
        <w:rPr>
          <w:lang w:eastAsia="en-AU"/>
        </w:rPr>
        <w:t xml:space="preserve">That the increased proportion of students with suspensions who </w:t>
      </w:r>
      <w:r w:rsidR="00744623">
        <w:rPr>
          <w:lang w:eastAsia="en-AU"/>
        </w:rPr>
        <w:t xml:space="preserve">have contact with the Youth Justice system </w:t>
      </w:r>
      <w:r>
        <w:rPr>
          <w:lang w:eastAsia="en-AU"/>
        </w:rPr>
        <w:t>is 100% attributable to suspensions and related school disengagement</w:t>
      </w:r>
    </w:p>
    <w:p w14:paraId="4E943C28" w14:textId="7A6FEA26" w:rsidR="00744623" w:rsidRDefault="00B96C4C" w:rsidP="00C36D7C">
      <w:pPr>
        <w:pStyle w:val="EYBodytextwithparaspace"/>
        <w:rPr>
          <w:lang w:eastAsia="en-AU"/>
        </w:rPr>
      </w:pPr>
      <w:r>
        <w:rPr>
          <w:lang w:eastAsia="en-AU"/>
        </w:rPr>
        <w:t xml:space="preserve">We note that this is a strong assumption, and that </w:t>
      </w:r>
      <w:r w:rsidR="00C36D7C">
        <w:rPr>
          <w:lang w:eastAsia="en-AU"/>
        </w:rPr>
        <w:t xml:space="preserve">lower educational achievement and higher frequency interactions with the youth criminal justice system </w:t>
      </w:r>
      <w:r w:rsidR="00F300E3">
        <w:rPr>
          <w:lang w:eastAsia="en-AU"/>
        </w:rPr>
        <w:t>may be a</w:t>
      </w:r>
      <w:r w:rsidR="00C36D7C">
        <w:rPr>
          <w:lang w:eastAsia="en-AU"/>
        </w:rPr>
        <w:t xml:space="preserve"> product of </w:t>
      </w:r>
      <w:proofErr w:type="gramStart"/>
      <w:r w:rsidR="00C36D7C">
        <w:rPr>
          <w:lang w:eastAsia="en-AU"/>
        </w:rPr>
        <w:t>a number of</w:t>
      </w:r>
      <w:proofErr w:type="gramEnd"/>
      <w:r w:rsidR="00C36D7C">
        <w:rPr>
          <w:lang w:eastAsia="en-AU"/>
        </w:rPr>
        <w:t xml:space="preserve"> factors including education disengagement. As such the estimated impacts noted above should be interpreted as the </w:t>
      </w:r>
      <w:r w:rsidR="000D51F0">
        <w:rPr>
          <w:lang w:eastAsia="en-AU"/>
        </w:rPr>
        <w:t>upper range of potential impacts.</w:t>
      </w:r>
    </w:p>
    <w:p w14:paraId="1D0C1678" w14:textId="059F17E5" w:rsidR="00893F77" w:rsidRDefault="00FC6B2E" w:rsidP="00FC6B2E">
      <w:pPr>
        <w:pStyle w:val="EYSubheading"/>
      </w:pPr>
      <w:r>
        <w:t xml:space="preserve">Qualitative </w:t>
      </w:r>
      <w:r w:rsidR="000D51F0">
        <w:t>i</w:t>
      </w:r>
      <w:r w:rsidR="00A354B6">
        <w:t>mpacts</w:t>
      </w:r>
    </w:p>
    <w:p w14:paraId="0158497F" w14:textId="2665ECAB" w:rsidR="00A354B6" w:rsidRDefault="00A354B6" w:rsidP="00A354B6">
      <w:pPr>
        <w:pStyle w:val="EYBodytextwithparaspace"/>
        <w:rPr>
          <w:lang w:eastAsia="en-AU"/>
        </w:rPr>
      </w:pPr>
      <w:r>
        <w:rPr>
          <w:lang w:eastAsia="en-AU"/>
        </w:rPr>
        <w:t xml:space="preserve">The following short-term impacts </w:t>
      </w:r>
      <w:r w:rsidR="00946112">
        <w:rPr>
          <w:lang w:eastAsia="en-AU"/>
        </w:rPr>
        <w:t xml:space="preserve">have </w:t>
      </w:r>
      <w:r w:rsidR="00074370">
        <w:rPr>
          <w:lang w:eastAsia="en-AU"/>
        </w:rPr>
        <w:t>been identified throughout our research scan</w:t>
      </w:r>
      <w:r w:rsidR="007E5331">
        <w:rPr>
          <w:lang w:eastAsia="en-AU"/>
        </w:rPr>
        <w:t xml:space="preserve"> </w:t>
      </w:r>
      <w:r w:rsidR="0040759C">
        <w:rPr>
          <w:lang w:eastAsia="en-AU"/>
        </w:rPr>
        <w:t xml:space="preserve">as </w:t>
      </w:r>
      <w:r w:rsidR="00F300E3">
        <w:rPr>
          <w:lang w:eastAsia="en-AU"/>
        </w:rPr>
        <w:t xml:space="preserve">broader </w:t>
      </w:r>
      <w:r w:rsidR="0040759C">
        <w:rPr>
          <w:lang w:eastAsia="en-AU"/>
        </w:rPr>
        <w:t>social</w:t>
      </w:r>
      <w:r w:rsidR="004E109E">
        <w:rPr>
          <w:lang w:eastAsia="en-AU"/>
        </w:rPr>
        <w:t xml:space="preserve"> </w:t>
      </w:r>
      <w:r w:rsidR="00F300E3">
        <w:rPr>
          <w:lang w:eastAsia="en-AU"/>
        </w:rPr>
        <w:t xml:space="preserve">impacts and costs from </w:t>
      </w:r>
      <w:r w:rsidR="008761CC">
        <w:rPr>
          <w:lang w:eastAsia="en-AU"/>
        </w:rPr>
        <w:t>suspending students</w:t>
      </w:r>
      <w:r w:rsidR="0040759C">
        <w:rPr>
          <w:lang w:eastAsia="en-AU"/>
        </w:rPr>
        <w:t xml:space="preserve">. </w:t>
      </w:r>
      <w:proofErr w:type="gramStart"/>
      <w:r w:rsidR="00971E79">
        <w:rPr>
          <w:lang w:eastAsia="en-AU"/>
        </w:rPr>
        <w:t>Unfortunately</w:t>
      </w:r>
      <w:proofErr w:type="gramEnd"/>
      <w:r w:rsidR="00971E79">
        <w:rPr>
          <w:lang w:eastAsia="en-AU"/>
        </w:rPr>
        <w:t xml:space="preserve"> t</w:t>
      </w:r>
      <w:r w:rsidR="00F300E3">
        <w:rPr>
          <w:lang w:eastAsia="en-AU"/>
        </w:rPr>
        <w:t xml:space="preserve">he research base had insufficient </w:t>
      </w:r>
      <w:r w:rsidR="00252235">
        <w:rPr>
          <w:lang w:eastAsia="en-AU"/>
        </w:rPr>
        <w:t>data to support the quantification of these impacts</w:t>
      </w:r>
      <w:r w:rsidR="006B327B">
        <w:rPr>
          <w:lang w:eastAsia="en-AU"/>
        </w:rPr>
        <w:t xml:space="preserve">. </w:t>
      </w:r>
      <w:r w:rsidR="007E5331">
        <w:rPr>
          <w:lang w:eastAsia="en-AU"/>
        </w:rPr>
        <w:t xml:space="preserve">It is </w:t>
      </w:r>
      <w:r w:rsidR="00542310">
        <w:rPr>
          <w:lang w:eastAsia="en-AU"/>
        </w:rPr>
        <w:t xml:space="preserve">also not a complete list of all the </w:t>
      </w:r>
      <w:r w:rsidR="005213AB">
        <w:rPr>
          <w:lang w:eastAsia="en-AU"/>
        </w:rPr>
        <w:t>soc</w:t>
      </w:r>
      <w:r w:rsidR="0040759C">
        <w:rPr>
          <w:lang w:eastAsia="en-AU"/>
        </w:rPr>
        <w:t xml:space="preserve">ial costs </w:t>
      </w:r>
      <w:r w:rsidR="00FB2E2C">
        <w:rPr>
          <w:lang w:eastAsia="en-AU"/>
        </w:rPr>
        <w:t xml:space="preserve">that may exist in other research. </w:t>
      </w:r>
      <w:r w:rsidR="006B327B">
        <w:rPr>
          <w:lang w:eastAsia="en-AU"/>
        </w:rPr>
        <w:t xml:space="preserve">Supplementary to this list is </w:t>
      </w:r>
      <w:r w:rsidR="000F774D">
        <w:rPr>
          <w:lang w:eastAsia="en-AU"/>
        </w:rPr>
        <w:fldChar w:fldCharType="begin"/>
      </w:r>
      <w:r w:rsidR="000F774D">
        <w:rPr>
          <w:lang w:eastAsia="en-AU"/>
        </w:rPr>
        <w:instrText xml:space="preserve"> REF _Ref158126682 \h </w:instrText>
      </w:r>
      <w:r w:rsidR="000F774D">
        <w:rPr>
          <w:lang w:eastAsia="en-AU"/>
        </w:rPr>
      </w:r>
      <w:r w:rsidR="000F774D">
        <w:rPr>
          <w:lang w:eastAsia="en-AU"/>
        </w:rPr>
        <w:fldChar w:fldCharType="separate"/>
      </w:r>
      <w:proofErr w:type="gramStart"/>
      <w:r w:rsidR="003948D2">
        <w:t>Non-quantified</w:t>
      </w:r>
      <w:proofErr w:type="gramEnd"/>
      <w:r w:rsidR="003948D2">
        <w:t xml:space="preserve"> impacts</w:t>
      </w:r>
      <w:r w:rsidR="000F774D">
        <w:rPr>
          <w:lang w:eastAsia="en-AU"/>
        </w:rPr>
        <w:fldChar w:fldCharType="end"/>
      </w:r>
      <w:r w:rsidR="006B327B">
        <w:rPr>
          <w:lang w:eastAsia="en-AU"/>
        </w:rPr>
        <w:t xml:space="preserve"> that </w:t>
      </w:r>
      <w:r w:rsidR="00971E79">
        <w:rPr>
          <w:lang w:eastAsia="en-AU"/>
        </w:rPr>
        <w:t>outlines</w:t>
      </w:r>
      <w:r w:rsidR="006B327B">
        <w:rPr>
          <w:lang w:eastAsia="en-AU"/>
        </w:rPr>
        <w:t xml:space="preserve"> </w:t>
      </w:r>
      <w:r w:rsidR="0018043B">
        <w:rPr>
          <w:lang w:eastAsia="en-AU"/>
        </w:rPr>
        <w:t xml:space="preserve">the </w:t>
      </w:r>
      <w:r w:rsidR="005B54E0">
        <w:rPr>
          <w:lang w:eastAsia="en-AU"/>
        </w:rPr>
        <w:t xml:space="preserve">impact and </w:t>
      </w:r>
      <w:r w:rsidR="00971E79">
        <w:rPr>
          <w:lang w:eastAsia="en-AU"/>
        </w:rPr>
        <w:t>examples of reference data sources</w:t>
      </w:r>
      <w:r w:rsidR="005B54E0">
        <w:rPr>
          <w:lang w:eastAsia="en-AU"/>
        </w:rPr>
        <w:t xml:space="preserve">. </w:t>
      </w:r>
    </w:p>
    <w:p w14:paraId="6930A573" w14:textId="77777777" w:rsidR="008745BE" w:rsidRPr="008745BE" w:rsidRDefault="008745BE" w:rsidP="008745BE">
      <w:pPr>
        <w:pStyle w:val="EYBulletedText1"/>
        <w:numPr>
          <w:ilvl w:val="0"/>
          <w:numId w:val="0"/>
        </w:numPr>
        <w:ind w:left="425" w:hanging="425"/>
        <w:rPr>
          <w:u w:val="single"/>
          <w:lang w:eastAsia="en-AU"/>
        </w:rPr>
      </w:pPr>
      <w:r w:rsidRPr="008745BE">
        <w:rPr>
          <w:u w:val="single"/>
          <w:lang w:eastAsia="en-AU"/>
        </w:rPr>
        <w:t>Mental health, subjective wellbeing and educational outcomes</w:t>
      </w:r>
    </w:p>
    <w:p w14:paraId="31809E33" w14:textId="5EB5BD53" w:rsidR="002930BE" w:rsidRPr="002930BE" w:rsidRDefault="002930BE" w:rsidP="002930BE">
      <w:pPr>
        <w:pStyle w:val="EYBodytextwithparaspace"/>
        <w:rPr>
          <w:lang w:eastAsia="en-AU"/>
        </w:rPr>
      </w:pPr>
      <w:proofErr w:type="gramStart"/>
      <w:r w:rsidRPr="002930BE">
        <w:rPr>
          <w:lang w:eastAsia="en-AU"/>
        </w:rPr>
        <w:lastRenderedPageBreak/>
        <w:t>A number of</w:t>
      </w:r>
      <w:proofErr w:type="gramEnd"/>
      <w:r w:rsidRPr="002930BE">
        <w:rPr>
          <w:lang w:eastAsia="en-AU"/>
        </w:rPr>
        <w:t xml:space="preserve"> studies drew on interviews and surveys of students who had been suspended to highlight that children and young people reported feeling increased levels of anxiety and depression as a result of social humiliation and isolation due to exclusion and suspension. </w:t>
      </w:r>
    </w:p>
    <w:p w14:paraId="2E41CF50" w14:textId="07F24C23" w:rsidR="002930BE" w:rsidRPr="002930BE" w:rsidRDefault="002930BE" w:rsidP="002930BE">
      <w:pPr>
        <w:pStyle w:val="EYBodytextwithparaspace"/>
        <w:rPr>
          <w:lang w:eastAsia="en-AU"/>
        </w:rPr>
      </w:pPr>
      <w:r w:rsidRPr="002930BE">
        <w:rPr>
          <w:lang w:eastAsia="en-AU"/>
        </w:rPr>
        <w:t>For example, the Disability Royal Commission’s report into inclusive education</w:t>
      </w:r>
      <w:r w:rsidR="001A6F5C">
        <w:rPr>
          <w:lang w:eastAsia="en-AU"/>
        </w:rPr>
        <w:t>, employment and housing</w:t>
      </w:r>
      <w:r w:rsidRPr="002930BE">
        <w:rPr>
          <w:lang w:eastAsia="en-AU"/>
        </w:rPr>
        <w:t xml:space="preserve"> highlighted that</w:t>
      </w:r>
      <w:r>
        <w:rPr>
          <w:lang w:eastAsia="en-AU"/>
        </w:rPr>
        <w:t xml:space="preserve"> </w:t>
      </w:r>
      <w:r w:rsidRPr="002930BE">
        <w:rPr>
          <w:lang w:eastAsia="en-AU"/>
        </w:rPr>
        <w:t>“students subject to multiple suspensions can be at heightened risk of complete disengagement from education” and during public hearings they “had heard about students feeling isolated and excluded and being denied opportunities for academic attainment and social development. Feelings of frustration can lead to reduced self-esteem and confidence. This can hinder the acquisition of the skills, competencies and social networks the students require for successful transition to adulthood.”</w:t>
      </w:r>
    </w:p>
    <w:p w14:paraId="1C1A98CA" w14:textId="100C3201" w:rsidR="00826550" w:rsidRPr="001E2126" w:rsidRDefault="00F36AA0" w:rsidP="00F36AA0">
      <w:pPr>
        <w:pStyle w:val="EYBulletedText1"/>
        <w:numPr>
          <w:ilvl w:val="0"/>
          <w:numId w:val="0"/>
        </w:numPr>
        <w:ind w:left="425" w:hanging="425"/>
        <w:rPr>
          <w:u w:val="single"/>
          <w:lang w:eastAsia="en-AU"/>
        </w:rPr>
      </w:pPr>
      <w:r w:rsidRPr="00F36AA0">
        <w:rPr>
          <w:u w:val="single"/>
          <w:lang w:eastAsia="en-AU"/>
        </w:rPr>
        <w:t>Other parent / carer employment and income impacts</w:t>
      </w:r>
      <w:r w:rsidR="00935D29" w:rsidRPr="001E2126">
        <w:rPr>
          <w:u w:val="single"/>
          <w:lang w:eastAsia="en-AU"/>
        </w:rPr>
        <w:t xml:space="preserve"> </w:t>
      </w:r>
    </w:p>
    <w:p w14:paraId="110882C9" w14:textId="258BB727" w:rsidR="00F36AA0" w:rsidRPr="00F36AA0" w:rsidRDefault="00F36AA0" w:rsidP="00F36AA0">
      <w:pPr>
        <w:pStyle w:val="EYBodytextwithparaspace"/>
      </w:pPr>
      <w:r w:rsidRPr="00F36AA0">
        <w:t xml:space="preserve">Pressure on parents/carers’ employment where caregivers </w:t>
      </w:r>
      <w:proofErr w:type="gramStart"/>
      <w:r w:rsidRPr="00F36AA0">
        <w:t>have to</w:t>
      </w:r>
      <w:proofErr w:type="gramEnd"/>
      <w:r w:rsidRPr="00F36AA0">
        <w:t xml:space="preserve"> temporarily or permanently give up employment, leave their child unsupervised, or fund alternative care arrangements (for example, repurposing NDIS funding for respite care during school hours).</w:t>
      </w:r>
    </w:p>
    <w:p w14:paraId="2E6C1DA0" w14:textId="77777777" w:rsidR="00F36AA0" w:rsidRPr="001E2126" w:rsidRDefault="00F36AA0" w:rsidP="00F36AA0">
      <w:pPr>
        <w:pStyle w:val="EYBodytextwithparaspace"/>
        <w:rPr>
          <w:szCs w:val="24"/>
          <w:u w:val="single"/>
          <w:lang w:eastAsia="en-AU"/>
        </w:rPr>
      </w:pPr>
      <w:r w:rsidRPr="001E2126">
        <w:rPr>
          <w:szCs w:val="24"/>
          <w:u w:val="single"/>
          <w:lang w:eastAsia="en-AU"/>
        </w:rPr>
        <w:t>Impacts on teachers and school resources used to manage suspensions and associated responses</w:t>
      </w:r>
    </w:p>
    <w:p w14:paraId="6F8CBF96" w14:textId="77777777" w:rsidR="001E2126" w:rsidRPr="001E2126" w:rsidRDefault="001E2126" w:rsidP="001E2126">
      <w:pPr>
        <w:pStyle w:val="EYBodytextwithparaspace"/>
      </w:pPr>
      <w:r w:rsidRPr="001E2126">
        <w:t xml:space="preserve">Reports from </w:t>
      </w:r>
      <w:proofErr w:type="gramStart"/>
      <w:r w:rsidRPr="001E2126">
        <w:t>a number of</w:t>
      </w:r>
      <w:proofErr w:type="gramEnd"/>
      <w:r w:rsidRPr="001E2126">
        <w:t xml:space="preserve"> government inquiries into the use of disciplinary responses and classroom disruption highlighted the adverse impact that challenging student behaviour can have on the ability of teachers to spend time instructing classrooms, as well as their own health and wellbeing if they are insufficiently supported.</w:t>
      </w:r>
    </w:p>
    <w:p w14:paraId="78E5256B" w14:textId="45D2518D" w:rsidR="00F36AA0" w:rsidRPr="001E2126" w:rsidRDefault="001E2126" w:rsidP="00F36AA0">
      <w:pPr>
        <w:pStyle w:val="EYBodytextwithparaspace"/>
      </w:pPr>
      <w:r w:rsidRPr="001E2126">
        <w:t>Additional school resources are also required to manage responses to ongoing student suspensions, including reviews and appeals of suspension decisions, working with parents and health professionals to identify alternative arrangements and administrative requirements.</w:t>
      </w:r>
    </w:p>
    <w:p w14:paraId="411E6ABD" w14:textId="1EE3B5EC" w:rsidR="004F5FCB" w:rsidRDefault="004F5FCB" w:rsidP="004F5FCB">
      <w:pPr>
        <w:pStyle w:val="EYHeading2"/>
      </w:pPr>
      <w:bookmarkStart w:id="10" w:name="_Toc165390907"/>
      <w:r>
        <w:t>Long</w:t>
      </w:r>
      <w:r w:rsidR="00843D0B">
        <w:t>-</w:t>
      </w:r>
      <w:r>
        <w:t xml:space="preserve">term </w:t>
      </w:r>
      <w:r w:rsidR="005D67EC">
        <w:t>i</w:t>
      </w:r>
      <w:r>
        <w:t>mpacts</w:t>
      </w:r>
      <w:bookmarkEnd w:id="10"/>
    </w:p>
    <w:p w14:paraId="082BA2C1" w14:textId="687884D1" w:rsidR="00F64E85" w:rsidRDefault="00BB11DD" w:rsidP="0041785A">
      <w:pPr>
        <w:pStyle w:val="EYBodytextwithparaspace"/>
      </w:pPr>
      <w:r>
        <w:t>We identified</w:t>
      </w:r>
      <w:r w:rsidR="00ED421B">
        <w:t xml:space="preserve"> </w:t>
      </w:r>
      <w:r w:rsidR="00D518B7">
        <w:t>long</w:t>
      </w:r>
      <w:r w:rsidR="001C00CC">
        <w:t>-</w:t>
      </w:r>
      <w:r w:rsidR="00D518B7">
        <w:t>term</w:t>
      </w:r>
      <w:r w:rsidR="00BE2523">
        <w:t xml:space="preserve"> impacts</w:t>
      </w:r>
      <w:r w:rsidR="0041785A">
        <w:t xml:space="preserve"> associated with lower levels of educational attainment that persisted into adulthood. </w:t>
      </w:r>
      <w:r w:rsidR="001B02BE">
        <w:t>A</w:t>
      </w:r>
      <w:r w:rsidR="004E3A45">
        <w:t xml:space="preserve"> lower level of educational attainment </w:t>
      </w:r>
      <w:r w:rsidR="001B02BE">
        <w:t>can contribute</w:t>
      </w:r>
      <w:r w:rsidR="00C86FFB">
        <w:t xml:space="preserve"> to lower income</w:t>
      </w:r>
      <w:r w:rsidR="00495569">
        <w:t xml:space="preserve"> and employability</w:t>
      </w:r>
      <w:r w:rsidR="00C86FFB">
        <w:t xml:space="preserve"> in the long-term post </w:t>
      </w:r>
      <w:r w:rsidR="0041785A">
        <w:t>leaving school</w:t>
      </w:r>
      <w:r w:rsidR="00C86FFB">
        <w:t xml:space="preserve">. This is measured using difference in gross income to </w:t>
      </w:r>
      <w:r w:rsidR="00412C7C">
        <w:t xml:space="preserve">capture both the </w:t>
      </w:r>
      <w:r w:rsidR="00AC5F42">
        <w:t>cost</w:t>
      </w:r>
      <w:r w:rsidR="0051439E">
        <w:t xml:space="preserve"> to government </w:t>
      </w:r>
      <w:r w:rsidR="00AC5F42">
        <w:t>as a decrease in</w:t>
      </w:r>
      <w:r w:rsidR="0051439E">
        <w:t xml:space="preserve"> taxation, and </w:t>
      </w:r>
      <w:r w:rsidR="00AC5F42">
        <w:t>a cost</w:t>
      </w:r>
      <w:r w:rsidR="0051439E">
        <w:t xml:space="preserve"> to household</w:t>
      </w:r>
      <w:r w:rsidR="00AC5F42">
        <w:t>s in the form of reduced income.</w:t>
      </w:r>
    </w:p>
    <w:p w14:paraId="0C60B8B2" w14:textId="2416D610" w:rsidR="00BB11DD" w:rsidRDefault="00C654EF" w:rsidP="00BB11DD">
      <w:pPr>
        <w:pStyle w:val="EYBodytextwithparaspace"/>
      </w:pPr>
      <w:r>
        <w:t xml:space="preserve">The following table </w:t>
      </w:r>
      <w:r w:rsidR="00C643FE">
        <w:t xml:space="preserve">summarises </w:t>
      </w:r>
      <w:r w:rsidR="009D0119">
        <w:t>our</w:t>
      </w:r>
      <w:r w:rsidR="00E641F2">
        <w:t xml:space="preserve"> main</w:t>
      </w:r>
      <w:r w:rsidR="009D0119">
        <w:t xml:space="preserve"> assumptions for long-term cost. </w:t>
      </w:r>
      <w:r w:rsidR="0041785A">
        <w:t xml:space="preserve">Further details on </w:t>
      </w:r>
      <w:r w:rsidR="009D0119">
        <w:t xml:space="preserve">these figures can be found in </w:t>
      </w:r>
      <w:r w:rsidR="006C147E">
        <w:fldChar w:fldCharType="begin"/>
      </w:r>
      <w:r w:rsidR="006C147E">
        <w:instrText xml:space="preserve"> REF _Ref158126715 \w \h </w:instrText>
      </w:r>
      <w:r w:rsidR="006C147E">
        <w:fldChar w:fldCharType="separate"/>
      </w:r>
      <w:r w:rsidR="003948D2">
        <w:t>Appendix C</w:t>
      </w:r>
      <w:r w:rsidR="006C147E">
        <w:fldChar w:fldCharType="end"/>
      </w:r>
      <w:r w:rsidR="009D0119">
        <w:t>.</w:t>
      </w:r>
    </w:p>
    <w:tbl>
      <w:tblPr>
        <w:tblStyle w:val="TableGrid"/>
        <w:tblW w:w="5004" w:type="pct"/>
        <w:tblLook w:val="04A0" w:firstRow="1" w:lastRow="0" w:firstColumn="1" w:lastColumn="0" w:noHBand="0" w:noVBand="1"/>
      </w:tblPr>
      <w:tblGrid>
        <w:gridCol w:w="7633"/>
        <w:gridCol w:w="1437"/>
      </w:tblGrid>
      <w:tr w:rsidR="00593547" w:rsidRPr="00193957" w14:paraId="6BE07095" w14:textId="77777777" w:rsidTr="00593547">
        <w:tc>
          <w:tcPr>
            <w:tcW w:w="4208" w:type="pct"/>
            <w:shd w:val="clear" w:color="auto" w:fill="A6A6A6" w:themeFill="background1" w:themeFillShade="A6"/>
            <w:vAlign w:val="center"/>
          </w:tcPr>
          <w:p w14:paraId="05236131" w14:textId="77777777" w:rsidR="00CC0D32" w:rsidRPr="00193957" w:rsidRDefault="00CC0D32">
            <w:pPr>
              <w:pStyle w:val="EYBodytextwithparaspace"/>
              <w:spacing w:before="120" w:after="120"/>
              <w:rPr>
                <w:b/>
                <w:bCs/>
                <w:color w:val="FFFFFF" w:themeColor="background1"/>
                <w:sz w:val="22"/>
                <w:szCs w:val="22"/>
              </w:rPr>
            </w:pPr>
            <w:r w:rsidRPr="00193957">
              <w:rPr>
                <w:b/>
                <w:bCs/>
                <w:color w:val="FFFFFF" w:themeColor="background1"/>
                <w:sz w:val="22"/>
                <w:szCs w:val="22"/>
              </w:rPr>
              <w:t>Description</w:t>
            </w:r>
          </w:p>
        </w:tc>
        <w:tc>
          <w:tcPr>
            <w:tcW w:w="792" w:type="pct"/>
            <w:shd w:val="clear" w:color="auto" w:fill="A6A6A6" w:themeFill="background1" w:themeFillShade="A6"/>
            <w:vAlign w:val="center"/>
          </w:tcPr>
          <w:p w14:paraId="71967B43" w14:textId="77777777" w:rsidR="00CC0D32" w:rsidRPr="00193957" w:rsidRDefault="00CC0D32">
            <w:pPr>
              <w:pStyle w:val="EYBodytextwithparaspace"/>
              <w:spacing w:before="120" w:after="120"/>
              <w:rPr>
                <w:b/>
                <w:bCs/>
                <w:color w:val="FFFFFF" w:themeColor="background1"/>
                <w:sz w:val="22"/>
                <w:szCs w:val="22"/>
              </w:rPr>
            </w:pPr>
            <w:r>
              <w:rPr>
                <w:b/>
                <w:bCs/>
                <w:color w:val="FFFFFF" w:themeColor="background1"/>
                <w:sz w:val="22"/>
                <w:szCs w:val="22"/>
              </w:rPr>
              <w:t>Data</w:t>
            </w:r>
          </w:p>
        </w:tc>
      </w:tr>
      <w:tr w:rsidR="009F6C55" w:rsidRPr="00193957" w14:paraId="3EC1865F" w14:textId="77777777" w:rsidTr="00593547">
        <w:tc>
          <w:tcPr>
            <w:tcW w:w="4208" w:type="pct"/>
            <w:shd w:val="clear" w:color="auto" w:fill="auto"/>
            <w:vAlign w:val="center"/>
          </w:tcPr>
          <w:p w14:paraId="67937982" w14:textId="7135C2BC" w:rsidR="000A317A" w:rsidRDefault="001105F5" w:rsidP="00A071F6">
            <w:pPr>
              <w:pStyle w:val="EYBodytextwithparaspace"/>
              <w:spacing w:before="120" w:after="120"/>
            </w:pPr>
            <w:r>
              <w:t>Average annual income gap for suspended students with disability who do not complete Year 12 (per person)</w:t>
            </w:r>
          </w:p>
        </w:tc>
        <w:tc>
          <w:tcPr>
            <w:tcW w:w="792" w:type="pct"/>
            <w:shd w:val="clear" w:color="auto" w:fill="auto"/>
            <w:vAlign w:val="center"/>
          </w:tcPr>
          <w:p w14:paraId="1FA958D4" w14:textId="22DDCFD6" w:rsidR="000A317A" w:rsidRDefault="000A317A" w:rsidP="00A071F6">
            <w:pPr>
              <w:pStyle w:val="EYBodytextwithparaspace"/>
              <w:spacing w:before="120" w:after="120"/>
            </w:pPr>
            <w:r>
              <w:t>$</w:t>
            </w:r>
            <w:r w:rsidR="009F6C55">
              <w:t>14,105</w:t>
            </w:r>
          </w:p>
        </w:tc>
      </w:tr>
      <w:tr w:rsidR="009F6C55" w:rsidRPr="00193957" w14:paraId="179FEFF8" w14:textId="77777777" w:rsidTr="00593547">
        <w:tc>
          <w:tcPr>
            <w:tcW w:w="4208" w:type="pct"/>
            <w:shd w:val="clear" w:color="auto" w:fill="auto"/>
            <w:vAlign w:val="center"/>
          </w:tcPr>
          <w:p w14:paraId="13DDC757" w14:textId="0764ABF7" w:rsidR="00FB216A" w:rsidRDefault="00EE7A17" w:rsidP="00A071F6">
            <w:pPr>
              <w:pStyle w:val="EYBodytextwithparaspace"/>
              <w:spacing w:before="120" w:after="120"/>
            </w:pPr>
            <w:r>
              <w:t>Average annual income gap for all students with disability and suspensions who do not complete Year 12</w:t>
            </w:r>
          </w:p>
        </w:tc>
        <w:tc>
          <w:tcPr>
            <w:tcW w:w="792" w:type="pct"/>
            <w:shd w:val="clear" w:color="auto" w:fill="auto"/>
            <w:vAlign w:val="center"/>
          </w:tcPr>
          <w:p w14:paraId="3E352381" w14:textId="1EA084BC" w:rsidR="00FB216A" w:rsidRDefault="001105F5" w:rsidP="00A071F6">
            <w:pPr>
              <w:pStyle w:val="EYBodytextwithparaspace"/>
              <w:spacing w:before="120" w:after="120"/>
            </w:pPr>
            <w:r>
              <w:t>$4</w:t>
            </w:r>
            <w:r w:rsidR="00697C95">
              <w:t>1</w:t>
            </w:r>
            <w:r>
              <w:t>.1m</w:t>
            </w:r>
          </w:p>
        </w:tc>
      </w:tr>
    </w:tbl>
    <w:p w14:paraId="5012E941" w14:textId="2CCCA8E6" w:rsidR="00EB02B4" w:rsidRDefault="002F7E01" w:rsidP="00EB02B4">
      <w:pPr>
        <w:pStyle w:val="EYBodytextwithparaspace"/>
        <w:spacing w:before="120"/>
      </w:pPr>
      <w:r>
        <w:rPr>
          <w:i/>
          <w:iCs/>
        </w:rPr>
        <w:t xml:space="preserve">Note: </w:t>
      </w:r>
      <w:r w:rsidR="00EB02B4" w:rsidRPr="002F7E01">
        <w:rPr>
          <w:i/>
          <w:iCs/>
        </w:rPr>
        <w:t xml:space="preserve">The </w:t>
      </w:r>
      <w:r w:rsidR="00EB02B4">
        <w:rPr>
          <w:i/>
          <w:iCs/>
        </w:rPr>
        <w:t xml:space="preserve">difference </w:t>
      </w:r>
      <w:r w:rsidR="00EB02B4" w:rsidRPr="002F7E01">
        <w:rPr>
          <w:i/>
          <w:iCs/>
        </w:rPr>
        <w:t xml:space="preserve">in income figure is </w:t>
      </w:r>
      <w:r w:rsidR="00870069">
        <w:rPr>
          <w:i/>
          <w:iCs/>
        </w:rPr>
        <w:t xml:space="preserve">calculated as a weighted average of the proportion of students with disability assumed to be employed, unemployed or not in the labour force </w:t>
      </w:r>
      <w:r w:rsidR="00984A03">
        <w:rPr>
          <w:i/>
          <w:iCs/>
        </w:rPr>
        <w:t>multiplied by average incomes for each labour force status.</w:t>
      </w:r>
    </w:p>
    <w:p w14:paraId="3537B1BC" w14:textId="77777777" w:rsidR="00B93E4B" w:rsidRDefault="00B93E4B" w:rsidP="00B93E4B">
      <w:pPr>
        <w:pStyle w:val="EYSubheading"/>
      </w:pPr>
      <w:r>
        <w:t>Attribution factor</w:t>
      </w:r>
    </w:p>
    <w:p w14:paraId="34AA395D" w14:textId="408F4A56" w:rsidR="00B93E4B" w:rsidRDefault="00B93E4B" w:rsidP="00B93E4B">
      <w:pPr>
        <w:pStyle w:val="EYBodytextwithparaspace"/>
      </w:pPr>
      <w:r>
        <w:t xml:space="preserve">It is important to note that these results are based on </w:t>
      </w:r>
      <w:r w:rsidR="00984A03">
        <w:t xml:space="preserve">attributing 100% of the difference </w:t>
      </w:r>
      <w:r w:rsidR="00571858">
        <w:t>in income and employment profile for people with suspension history and without Year 12 educational attainment to their education levels (and by extension their suspension history).</w:t>
      </w:r>
    </w:p>
    <w:p w14:paraId="1B2C0AD3" w14:textId="0449FE34" w:rsidR="00571858" w:rsidRDefault="00571858" w:rsidP="00B93E4B">
      <w:pPr>
        <w:pStyle w:val="EYBodytextwithparaspace"/>
        <w:rPr>
          <w:lang w:eastAsia="en-AU"/>
        </w:rPr>
      </w:pPr>
      <w:r>
        <w:rPr>
          <w:lang w:eastAsia="en-AU"/>
        </w:rPr>
        <w:lastRenderedPageBreak/>
        <w:t>As with the short-term impact estimates, we note that this is a strong assumption and that other factors may also contribute to these differences, although there are a range of studies across different jurisdictions that identify similar differences by educational attainment. As such the estimated impacts noted above should be interpreted as the upper range of potential impacts.</w:t>
      </w:r>
    </w:p>
    <w:p w14:paraId="12C39E19" w14:textId="67DB8F2E" w:rsidR="00B106FF" w:rsidRDefault="00B106FF" w:rsidP="00B106FF">
      <w:pPr>
        <w:pStyle w:val="EYSubheading"/>
      </w:pPr>
      <w:r>
        <w:t xml:space="preserve">Qualitative </w:t>
      </w:r>
      <w:r w:rsidR="002C1E4C">
        <w:t>i</w:t>
      </w:r>
      <w:r>
        <w:t>mpacts</w:t>
      </w:r>
    </w:p>
    <w:p w14:paraId="5064C1E9" w14:textId="2302BB41" w:rsidR="00B106FF" w:rsidRDefault="00FB2E2C" w:rsidP="00B106FF">
      <w:pPr>
        <w:pStyle w:val="EYBodytextwithparaspace"/>
        <w:rPr>
          <w:lang w:eastAsia="en-AU"/>
        </w:rPr>
      </w:pPr>
      <w:r>
        <w:rPr>
          <w:lang w:eastAsia="en-AU"/>
        </w:rPr>
        <w:t xml:space="preserve">The following long-term impacts have been identified throughout our research scan as social </w:t>
      </w:r>
      <w:r w:rsidR="002C1E4C">
        <w:rPr>
          <w:lang w:eastAsia="en-AU"/>
        </w:rPr>
        <w:t>impacts</w:t>
      </w:r>
      <w:r w:rsidR="008761CC">
        <w:rPr>
          <w:lang w:eastAsia="en-AU"/>
        </w:rPr>
        <w:t xml:space="preserve"> of suspending children</w:t>
      </w:r>
      <w:r>
        <w:rPr>
          <w:lang w:eastAsia="en-AU"/>
        </w:rPr>
        <w:t xml:space="preserve">. </w:t>
      </w:r>
      <w:r w:rsidR="002C1E4C">
        <w:rPr>
          <w:lang w:eastAsia="en-AU"/>
        </w:rPr>
        <w:t>The research base had insufficient data to support the quantification of these impacts.</w:t>
      </w:r>
      <w:r>
        <w:rPr>
          <w:lang w:eastAsia="en-AU"/>
        </w:rPr>
        <w:t xml:space="preserve"> It is also not a complete list of all the social </w:t>
      </w:r>
      <w:r w:rsidR="002C1E4C">
        <w:rPr>
          <w:lang w:eastAsia="en-AU"/>
        </w:rPr>
        <w:t>impacts</w:t>
      </w:r>
      <w:r>
        <w:rPr>
          <w:lang w:eastAsia="en-AU"/>
        </w:rPr>
        <w:t xml:space="preserve"> that may exist in other research. </w:t>
      </w:r>
      <w:r w:rsidR="00B106FF">
        <w:rPr>
          <w:lang w:eastAsia="en-AU"/>
        </w:rPr>
        <w:t xml:space="preserve">Supplementary to this list is </w:t>
      </w:r>
      <w:r w:rsidR="000F774D">
        <w:rPr>
          <w:lang w:eastAsia="en-AU"/>
        </w:rPr>
        <w:fldChar w:fldCharType="begin"/>
      </w:r>
      <w:r w:rsidR="000F774D">
        <w:rPr>
          <w:lang w:eastAsia="en-AU"/>
        </w:rPr>
        <w:instrText xml:space="preserve"> REF _Ref158126700 \h </w:instrText>
      </w:r>
      <w:r w:rsidR="000F774D">
        <w:rPr>
          <w:lang w:eastAsia="en-AU"/>
        </w:rPr>
      </w:r>
      <w:r w:rsidR="000F774D">
        <w:rPr>
          <w:lang w:eastAsia="en-AU"/>
        </w:rPr>
        <w:fldChar w:fldCharType="separate"/>
      </w:r>
      <w:proofErr w:type="gramStart"/>
      <w:r w:rsidR="003948D2">
        <w:t>Non-quantified</w:t>
      </w:r>
      <w:proofErr w:type="gramEnd"/>
      <w:r w:rsidR="003948D2">
        <w:t xml:space="preserve"> impacts</w:t>
      </w:r>
      <w:r w:rsidR="000F774D">
        <w:rPr>
          <w:lang w:eastAsia="en-AU"/>
        </w:rPr>
        <w:fldChar w:fldCharType="end"/>
      </w:r>
      <w:r w:rsidR="000F774D">
        <w:rPr>
          <w:lang w:eastAsia="en-AU"/>
        </w:rPr>
        <w:t xml:space="preserve"> t</w:t>
      </w:r>
      <w:r w:rsidR="00B106FF">
        <w:rPr>
          <w:lang w:eastAsia="en-AU"/>
        </w:rPr>
        <w:t xml:space="preserve">hat details the impact and </w:t>
      </w:r>
      <w:r w:rsidR="002C1E4C">
        <w:rPr>
          <w:lang w:eastAsia="en-AU"/>
        </w:rPr>
        <w:t xml:space="preserve">example reference data </w:t>
      </w:r>
      <w:r w:rsidR="00B106FF">
        <w:rPr>
          <w:lang w:eastAsia="en-AU"/>
        </w:rPr>
        <w:t>source</w:t>
      </w:r>
      <w:r w:rsidR="002C1E4C">
        <w:rPr>
          <w:lang w:eastAsia="en-AU"/>
        </w:rPr>
        <w:t>s</w:t>
      </w:r>
      <w:r w:rsidR="00B106FF">
        <w:rPr>
          <w:lang w:eastAsia="en-AU"/>
        </w:rPr>
        <w:t xml:space="preserve">. </w:t>
      </w:r>
    </w:p>
    <w:p w14:paraId="0FAA52C5" w14:textId="4FBFAC6E" w:rsidR="00002D11" w:rsidRPr="00002D11" w:rsidRDefault="00002D11" w:rsidP="00002D11">
      <w:pPr>
        <w:pStyle w:val="EYBulletedText2"/>
        <w:numPr>
          <w:ilvl w:val="0"/>
          <w:numId w:val="0"/>
        </w:numPr>
        <w:rPr>
          <w:u w:val="single"/>
          <w:lang w:eastAsia="en-AU"/>
        </w:rPr>
      </w:pPr>
      <w:r w:rsidRPr="00002D11">
        <w:rPr>
          <w:u w:val="single"/>
          <w:lang w:eastAsia="en-AU"/>
        </w:rPr>
        <w:t>Mental health and subjective wellbeing</w:t>
      </w:r>
    </w:p>
    <w:p w14:paraId="15E9B6B0" w14:textId="77777777" w:rsidR="00870142" w:rsidRPr="00870142" w:rsidRDefault="00870142" w:rsidP="00870142">
      <w:pPr>
        <w:pStyle w:val="EYBodytextwithparaspace"/>
        <w:rPr>
          <w:lang w:eastAsia="en-AU"/>
        </w:rPr>
      </w:pPr>
      <w:r w:rsidRPr="00870142">
        <w:rPr>
          <w:lang w:eastAsia="en-AU"/>
        </w:rPr>
        <w:t xml:space="preserve">Numerous studies highlight the association between education attainment, employment and financial wellbeing with lifetime health outcomes (‘socioeconomic determinants of health’). Conversely, early school leaving and non-Y12 educational attainment are associated with poorer reported health outcomes. </w:t>
      </w:r>
    </w:p>
    <w:p w14:paraId="421241F9" w14:textId="59304B9A" w:rsidR="00870142" w:rsidRPr="00870142" w:rsidRDefault="00870142" w:rsidP="00696522">
      <w:pPr>
        <w:pStyle w:val="EYBodytextwithparaspace"/>
        <w:rPr>
          <w:lang w:eastAsia="en-AU"/>
        </w:rPr>
      </w:pPr>
      <w:r w:rsidRPr="00870142">
        <w:rPr>
          <w:lang w:eastAsia="en-AU"/>
        </w:rPr>
        <w:t>The Disability Royal Commission</w:t>
      </w:r>
      <w:r w:rsidR="001A6F5C">
        <w:rPr>
          <w:lang w:eastAsia="en-AU"/>
        </w:rPr>
        <w:t xml:space="preserve">’s </w:t>
      </w:r>
      <w:r w:rsidR="00FB316D">
        <w:rPr>
          <w:lang w:eastAsia="en-AU"/>
        </w:rPr>
        <w:t xml:space="preserve">analysis of economic costs associated with </w:t>
      </w:r>
      <w:r w:rsidR="00696522">
        <w:rPr>
          <w:lang w:eastAsia="en-AU"/>
        </w:rPr>
        <w:t xml:space="preserve">violence, abuse, neglect and exploitation of people with disability </w:t>
      </w:r>
      <w:r w:rsidR="001A6F5C">
        <w:rPr>
          <w:lang w:eastAsia="en-AU"/>
        </w:rPr>
        <w:t>discussed</w:t>
      </w:r>
      <w:r w:rsidRPr="00870142">
        <w:rPr>
          <w:lang w:eastAsia="en-AU"/>
        </w:rPr>
        <w:t xml:space="preserve"> existing differences in life satisfaction experienced by people with disability </w:t>
      </w:r>
      <w:proofErr w:type="gramStart"/>
      <w:r w:rsidRPr="00870142">
        <w:rPr>
          <w:lang w:eastAsia="en-AU"/>
        </w:rPr>
        <w:t>as a result of</w:t>
      </w:r>
      <w:proofErr w:type="gramEnd"/>
      <w:r w:rsidRPr="00870142">
        <w:rPr>
          <w:lang w:eastAsia="en-AU"/>
        </w:rPr>
        <w:t xml:space="preserve"> lower employment and incomes as well as other drivers. Further impacts from school disengagement may potentially exacerbate these differences.</w:t>
      </w:r>
    </w:p>
    <w:p w14:paraId="426245CC" w14:textId="7D84402F" w:rsidR="00870142" w:rsidRPr="00870142" w:rsidRDefault="00870142" w:rsidP="00B106FF">
      <w:pPr>
        <w:pStyle w:val="EYBodytextwithparaspace"/>
        <w:rPr>
          <w:lang w:eastAsia="en-AU"/>
        </w:rPr>
      </w:pPr>
      <w:r w:rsidRPr="00870142">
        <w:rPr>
          <w:lang w:eastAsia="en-AU"/>
        </w:rPr>
        <w:t xml:space="preserve">A UK longitudinal study of young people found that those who had previously been permanently excluded from school were statistically more likely to report poorer health and wellbeing </w:t>
      </w:r>
      <w:proofErr w:type="gramStart"/>
      <w:r w:rsidRPr="00870142">
        <w:rPr>
          <w:lang w:eastAsia="en-AU"/>
        </w:rPr>
        <w:t>outcomes  at</w:t>
      </w:r>
      <w:proofErr w:type="gramEnd"/>
      <w:r w:rsidRPr="00870142">
        <w:rPr>
          <w:lang w:eastAsia="en-AU"/>
        </w:rPr>
        <w:t xml:space="preserve"> ages 25/26 even after controlling for related socioeconomic and demographic factors. Young people who had been temporarily excluded showed smaller differences to students without exclusions</w:t>
      </w:r>
      <w:r w:rsidR="00A6335A">
        <w:rPr>
          <w:lang w:eastAsia="en-AU"/>
        </w:rPr>
        <w:t>. These differences were not considered statistically significant</w:t>
      </w:r>
      <w:r w:rsidRPr="00870142">
        <w:rPr>
          <w:lang w:eastAsia="en-AU"/>
        </w:rPr>
        <w:t>.</w:t>
      </w:r>
    </w:p>
    <w:p w14:paraId="71C8DB48" w14:textId="77777777" w:rsidR="00870142" w:rsidRDefault="00870142" w:rsidP="00870142">
      <w:pPr>
        <w:pStyle w:val="EYBulletedText2"/>
        <w:numPr>
          <w:ilvl w:val="0"/>
          <w:numId w:val="0"/>
        </w:numPr>
        <w:rPr>
          <w:szCs w:val="20"/>
          <w:u w:val="single"/>
          <w:lang w:eastAsia="en-AU"/>
        </w:rPr>
      </w:pPr>
      <w:r w:rsidRPr="00870142">
        <w:rPr>
          <w:szCs w:val="20"/>
          <w:u w:val="single"/>
          <w:lang w:eastAsia="en-AU"/>
        </w:rPr>
        <w:t>Increased income support reliance</w:t>
      </w:r>
    </w:p>
    <w:p w14:paraId="5859BE27" w14:textId="3368D8DE" w:rsidR="00C16956" w:rsidRDefault="00C16956" w:rsidP="00C16956">
      <w:pPr>
        <w:pStyle w:val="EYBodytextwithparaspace"/>
        <w:rPr>
          <w:lang w:eastAsia="en-AU"/>
        </w:rPr>
      </w:pPr>
      <w:r w:rsidRPr="00C16956">
        <w:rPr>
          <w:lang w:eastAsia="en-AU"/>
        </w:rPr>
        <w:t xml:space="preserve">Reduced employment and earnings from Y12 education non-attainment is likely to also be associated with increased income support reliance across the adult </w:t>
      </w:r>
      <w:r w:rsidR="00230E9C" w:rsidRPr="00C16956">
        <w:rPr>
          <w:lang w:eastAsia="en-AU"/>
        </w:rPr>
        <w:t>life course</w:t>
      </w:r>
      <w:r w:rsidRPr="00C16956">
        <w:rPr>
          <w:lang w:eastAsia="en-AU"/>
        </w:rPr>
        <w:t xml:space="preserve">. Income support payments are implicitly reflected in the earnings assumptions used to calculate individual </w:t>
      </w:r>
      <w:proofErr w:type="gramStart"/>
      <w:r w:rsidRPr="00C16956">
        <w:rPr>
          <w:lang w:eastAsia="en-AU"/>
        </w:rPr>
        <w:t>income  gaps</w:t>
      </w:r>
      <w:proofErr w:type="gramEnd"/>
      <w:r w:rsidRPr="00C16956">
        <w:rPr>
          <w:lang w:eastAsia="en-AU"/>
        </w:rPr>
        <w:t>.</w:t>
      </w:r>
    </w:p>
    <w:p w14:paraId="3EABA488" w14:textId="77777777" w:rsidR="00C16956" w:rsidRPr="00C16956" w:rsidRDefault="00C16956" w:rsidP="00C16956">
      <w:pPr>
        <w:pStyle w:val="EYBodytextwithparaspace"/>
        <w:rPr>
          <w:u w:val="single"/>
          <w:lang w:eastAsia="en-AU"/>
        </w:rPr>
      </w:pPr>
      <w:r w:rsidRPr="00C16956">
        <w:rPr>
          <w:u w:val="single"/>
          <w:lang w:eastAsia="en-AU"/>
        </w:rPr>
        <w:t>Life satisfaction and subjective wellbeing from unemployment</w:t>
      </w:r>
    </w:p>
    <w:p w14:paraId="1ED724FB" w14:textId="77777777" w:rsidR="00C16956" w:rsidRPr="00C16956" w:rsidRDefault="00C16956" w:rsidP="00C16956">
      <w:pPr>
        <w:pStyle w:val="EYBodytextwithparaspace"/>
        <w:rPr>
          <w:lang w:eastAsia="en-AU"/>
        </w:rPr>
      </w:pPr>
      <w:r w:rsidRPr="00C16956">
        <w:rPr>
          <w:lang w:eastAsia="en-AU"/>
        </w:rPr>
        <w:t xml:space="preserve">The Disability Royal Commission’s recent analysis of the economic cost of violence, abuse, neglect and exploitation of people with disability observes that people with disability obtain large negative impacts from unemployment on life satisfaction. </w:t>
      </w:r>
    </w:p>
    <w:p w14:paraId="3EB266D5" w14:textId="77777777" w:rsidR="00C16956" w:rsidRPr="00C16956" w:rsidRDefault="00C16956" w:rsidP="00C16956">
      <w:pPr>
        <w:pStyle w:val="EYBodytextwithparaspace"/>
        <w:rPr>
          <w:lang w:eastAsia="en-AU"/>
        </w:rPr>
      </w:pPr>
      <w:r w:rsidRPr="00C16956">
        <w:rPr>
          <w:lang w:eastAsia="en-AU"/>
        </w:rPr>
        <w:t xml:space="preserve">We can extend their estimation approach on the value of subjective wellbeing to people with disability who were suspended and did not attain Year 12 educational levels (relative to people with disability). </w:t>
      </w:r>
    </w:p>
    <w:p w14:paraId="66789BD4" w14:textId="7EB56571" w:rsidR="00C73D38" w:rsidRDefault="00C16956" w:rsidP="0081224B">
      <w:pPr>
        <w:pStyle w:val="EYBodytextwithparaspace"/>
        <w:rPr>
          <w:b/>
          <w:color w:val="747480"/>
          <w:sz w:val="32"/>
          <w:szCs w:val="24"/>
        </w:rPr>
      </w:pPr>
      <w:r w:rsidRPr="00C16956">
        <w:rPr>
          <w:lang w:eastAsia="en-AU"/>
        </w:rPr>
        <w:t xml:space="preserve">This value is estimated to be $2.1m, based on the study where unemployment has a </w:t>
      </w:r>
      <w:r w:rsidRPr="00C16956">
        <w:rPr>
          <w:lang w:eastAsia="en-AU"/>
        </w:rPr>
        <w:br/>
        <w:t>-</w:t>
      </w:r>
      <w:proofErr w:type="gramStart"/>
      <w:r w:rsidRPr="00C16956">
        <w:rPr>
          <w:lang w:eastAsia="en-AU"/>
        </w:rPr>
        <w:t>0.5 point</w:t>
      </w:r>
      <w:proofErr w:type="gramEnd"/>
      <w:r w:rsidRPr="00C16956">
        <w:rPr>
          <w:lang w:eastAsia="en-AU"/>
        </w:rPr>
        <w:t xml:space="preserve"> impact on life satisfaction and a one-point increase is equal to $26,419, affecting a cohort of 2,917 students at an unemployment rate of 5.5%.</w:t>
      </w:r>
      <w:r w:rsidR="00C73D38">
        <w:br w:type="page"/>
      </w:r>
    </w:p>
    <w:p w14:paraId="6ECE8386" w14:textId="471F2FC9" w:rsidR="008C4CC3" w:rsidRDefault="00385EE2" w:rsidP="001B3530">
      <w:pPr>
        <w:pStyle w:val="EYHeading1"/>
        <w:pageBreakBefore w:val="0"/>
        <w:numPr>
          <w:ilvl w:val="0"/>
          <w:numId w:val="1"/>
        </w:numPr>
      </w:pPr>
      <w:bookmarkStart w:id="11" w:name="_Toc165390908"/>
      <w:r>
        <w:lastRenderedPageBreak/>
        <w:t>A</w:t>
      </w:r>
      <w:r w:rsidR="008C4CC3">
        <w:t>ssumptions</w:t>
      </w:r>
      <w:r>
        <w:t xml:space="preserve"> and </w:t>
      </w:r>
      <w:r w:rsidR="00F75D8F">
        <w:t>l</w:t>
      </w:r>
      <w:r>
        <w:t>imitations</w:t>
      </w:r>
      <w:bookmarkEnd w:id="11"/>
    </w:p>
    <w:p w14:paraId="756E44D7" w14:textId="14B39E9E" w:rsidR="00FC72DD" w:rsidRDefault="00385EE2" w:rsidP="008C4CC3">
      <w:pPr>
        <w:pStyle w:val="EYBodytextwithparaspace"/>
      </w:pPr>
      <w:r>
        <w:t>It is important to note that we have produced the outputs above on</w:t>
      </w:r>
      <w:r w:rsidR="008F13E6">
        <w:t xml:space="preserve"> a set of clearly defined limitations and assumptions. This will help in drawing conclusions from our work and aide in</w:t>
      </w:r>
      <w:r w:rsidR="00FC72DD">
        <w:t xml:space="preserve"> the interpretation of our outputs. </w:t>
      </w:r>
    </w:p>
    <w:p w14:paraId="40036358" w14:textId="6096FAE1" w:rsidR="005D28E0" w:rsidRPr="00BD03C2" w:rsidRDefault="005D28E0" w:rsidP="00FB3216">
      <w:pPr>
        <w:pStyle w:val="EYHeading2"/>
      </w:pPr>
      <w:bookmarkStart w:id="12" w:name="_Toc165390909"/>
      <w:r w:rsidRPr="00BD03C2">
        <w:t xml:space="preserve">Key assumptions </w:t>
      </w:r>
      <w:r w:rsidR="00494B1F">
        <w:t xml:space="preserve">and limitations around </w:t>
      </w:r>
      <w:r w:rsidRPr="00BD03C2">
        <w:t>our approach</w:t>
      </w:r>
      <w:bookmarkEnd w:id="12"/>
    </w:p>
    <w:p w14:paraId="1A19C782" w14:textId="15486DE3" w:rsidR="00C82491" w:rsidRPr="00C82491" w:rsidRDefault="00C82491" w:rsidP="00C82491">
      <w:pPr>
        <w:pStyle w:val="EYBodytextwithparaspace"/>
        <w:numPr>
          <w:ilvl w:val="0"/>
          <w:numId w:val="37"/>
        </w:numPr>
      </w:pPr>
      <w:r w:rsidRPr="00C82491">
        <w:rPr>
          <w:b/>
          <w:bCs/>
          <w:u w:val="single"/>
        </w:rPr>
        <w:t xml:space="preserve">The cost estimates in sections 1-4 of this document should be treated as the ‘maximum’ or upper range of economic costs that may be associated with suspensions for children with </w:t>
      </w:r>
      <w:proofErr w:type="gramStart"/>
      <w:r w:rsidRPr="00C82491">
        <w:rPr>
          <w:b/>
          <w:bCs/>
          <w:u w:val="single"/>
        </w:rPr>
        <w:t>disability,  as</w:t>
      </w:r>
      <w:proofErr w:type="gramEnd"/>
      <w:r w:rsidRPr="00C82491">
        <w:rPr>
          <w:b/>
          <w:bCs/>
          <w:u w:val="single"/>
        </w:rPr>
        <w:t xml:space="preserve"> they assume that 100% of the short term and longer term </w:t>
      </w:r>
      <w:r w:rsidR="00230E9C" w:rsidRPr="00C82491">
        <w:rPr>
          <w:b/>
          <w:bCs/>
          <w:u w:val="single"/>
        </w:rPr>
        <w:t>life course</w:t>
      </w:r>
      <w:r w:rsidRPr="00C82491">
        <w:rPr>
          <w:b/>
          <w:bCs/>
          <w:u w:val="single"/>
        </w:rPr>
        <w:t xml:space="preserve"> impacts experienced by students with disability and suspensions can be directly attributed to suspensions and underlying school disengagement. </w:t>
      </w:r>
    </w:p>
    <w:p w14:paraId="6A078491" w14:textId="77777777" w:rsidR="00C82491" w:rsidRPr="00C82491" w:rsidRDefault="00C82491" w:rsidP="00C82491">
      <w:pPr>
        <w:pStyle w:val="EYBodytextwithparaspace"/>
        <w:ind w:left="360"/>
      </w:pPr>
      <w:r w:rsidRPr="00C82491">
        <w:rPr>
          <w:b/>
          <w:bCs/>
        </w:rPr>
        <w:t>In practice it is likely that these impacts are partially, but not fully, attributable to school disengagement – other characteristics of these children and young people, their families, schools and community will also likely contribute.</w:t>
      </w:r>
    </w:p>
    <w:p w14:paraId="3D758D50" w14:textId="77409502" w:rsidR="00C82491" w:rsidRPr="00C82491" w:rsidRDefault="00C82491" w:rsidP="00C82491">
      <w:pPr>
        <w:pStyle w:val="EYBodytextwithparaspace"/>
        <w:numPr>
          <w:ilvl w:val="0"/>
          <w:numId w:val="37"/>
        </w:numPr>
      </w:pPr>
      <w:r w:rsidRPr="00C82491">
        <w:rPr>
          <w:b/>
          <w:bCs/>
          <w:u w:val="single"/>
        </w:rPr>
        <w:t>Impacts associated with suspensions are assumed to be driven by underlying school disengagement and behavioural challenges</w:t>
      </w:r>
      <w:r w:rsidRPr="00C82491">
        <w:rPr>
          <w:b/>
          <w:bCs/>
        </w:rPr>
        <w:t xml:space="preserve">, with suspensions a proxy indicator for these underlying challenges being experienced by children and young people. </w:t>
      </w:r>
      <w:r w:rsidRPr="00C82491">
        <w:t xml:space="preserve">A reduction in recorded suspensions that is </w:t>
      </w:r>
      <w:r w:rsidRPr="00C82491">
        <w:rPr>
          <w:u w:val="single"/>
        </w:rPr>
        <w:t>not</w:t>
      </w:r>
      <w:r w:rsidRPr="00C82491">
        <w:t xml:space="preserve"> accompanied by an improvement in student engagement with their school and learning is not expected to lead to any change in </w:t>
      </w:r>
      <w:r w:rsidR="00230E9C" w:rsidRPr="00C82491">
        <w:t>life course</w:t>
      </w:r>
      <w:r w:rsidRPr="00C82491">
        <w:t xml:space="preserve"> impacts.</w:t>
      </w:r>
    </w:p>
    <w:p w14:paraId="61BAF959" w14:textId="77777777" w:rsidR="00C82491" w:rsidRPr="00C82491" w:rsidRDefault="00C82491" w:rsidP="00C82491">
      <w:pPr>
        <w:pStyle w:val="EYBodytextwithparaspace"/>
        <w:numPr>
          <w:ilvl w:val="0"/>
          <w:numId w:val="37"/>
        </w:numPr>
      </w:pPr>
      <w:r w:rsidRPr="00C82491">
        <w:rPr>
          <w:b/>
          <w:bCs/>
        </w:rPr>
        <w:t>We assume that the Queensland cohort is comparable to broader Australia as well as different state jurisdictions</w:t>
      </w:r>
      <w:r w:rsidRPr="00C82491">
        <w:t>. Where available, we use studies and statistics that are taken from the Queensland population but due to limitations in publicly available data, we also reference studies from other state jurisdictions or with national data.</w:t>
      </w:r>
    </w:p>
    <w:p w14:paraId="376363A5" w14:textId="53D7A529" w:rsidR="005D28E0" w:rsidRPr="00BD03C2" w:rsidRDefault="00C82491" w:rsidP="005D28E0">
      <w:pPr>
        <w:pStyle w:val="EYBodytextwithparaspace"/>
        <w:numPr>
          <w:ilvl w:val="0"/>
          <w:numId w:val="37"/>
        </w:numPr>
      </w:pPr>
      <w:r w:rsidRPr="00C82491">
        <w:rPr>
          <w:b/>
          <w:bCs/>
        </w:rPr>
        <w:t xml:space="preserve">We assume that the impact of suspensions is the same for students with disability as it is for other students, due to limitations in the data available. </w:t>
      </w:r>
      <w:r w:rsidRPr="00C82491">
        <w:t xml:space="preserve">This may be different to actual experience, as students with disability have different experiences to those without across a range of different outcomes. </w:t>
      </w:r>
    </w:p>
    <w:p w14:paraId="6A31A5C5" w14:textId="3FD030F0" w:rsidR="00BF4226" w:rsidRPr="00444BD5" w:rsidRDefault="00D65692" w:rsidP="00FB3216">
      <w:pPr>
        <w:pStyle w:val="EYHeading2"/>
      </w:pPr>
      <w:bookmarkStart w:id="13" w:name="_Toc165390910"/>
      <w:r w:rsidRPr="00444BD5">
        <w:t xml:space="preserve">Assumptions </w:t>
      </w:r>
      <w:r w:rsidR="00444BD5" w:rsidRPr="00444BD5">
        <w:t xml:space="preserve">relating to </w:t>
      </w:r>
      <w:r w:rsidR="00CF577B">
        <w:t>data sources</w:t>
      </w:r>
      <w:bookmarkEnd w:id="13"/>
    </w:p>
    <w:p w14:paraId="77221BAC" w14:textId="41F32928" w:rsidR="001C2912" w:rsidRDefault="001E7A85" w:rsidP="001C2912">
      <w:pPr>
        <w:pStyle w:val="EYBodytextwithparaspace"/>
        <w:rPr>
          <w:lang w:eastAsia="en-AU"/>
        </w:rPr>
      </w:pPr>
      <w:r w:rsidRPr="00444BD5">
        <w:rPr>
          <w:lang w:eastAsia="en-AU"/>
        </w:rPr>
        <w:t xml:space="preserve">Due to data </w:t>
      </w:r>
      <w:r w:rsidR="00D2277C">
        <w:rPr>
          <w:lang w:eastAsia="en-AU"/>
        </w:rPr>
        <w:t xml:space="preserve">limitations and </w:t>
      </w:r>
      <w:r w:rsidRPr="00444BD5">
        <w:rPr>
          <w:lang w:eastAsia="en-AU"/>
        </w:rPr>
        <w:t xml:space="preserve">gaps in the available research, </w:t>
      </w:r>
      <w:r w:rsidR="00260AFE">
        <w:rPr>
          <w:lang w:eastAsia="en-AU"/>
        </w:rPr>
        <w:t xml:space="preserve">we made </w:t>
      </w:r>
      <w:proofErr w:type="gramStart"/>
      <w:r w:rsidR="00260AFE">
        <w:rPr>
          <w:lang w:eastAsia="en-AU"/>
        </w:rPr>
        <w:t>a number of</w:t>
      </w:r>
      <w:proofErr w:type="gramEnd"/>
      <w:r w:rsidR="00260AFE">
        <w:rPr>
          <w:lang w:eastAsia="en-AU"/>
        </w:rPr>
        <w:t xml:space="preserve"> </w:t>
      </w:r>
      <w:r w:rsidR="0075346B">
        <w:rPr>
          <w:lang w:eastAsia="en-AU"/>
        </w:rPr>
        <w:t xml:space="preserve">simplifying </w:t>
      </w:r>
      <w:r w:rsidR="00F02050" w:rsidRPr="00F02050">
        <w:rPr>
          <w:lang w:eastAsia="en-AU"/>
        </w:rPr>
        <w:t>assumptions</w:t>
      </w:r>
      <w:r w:rsidR="0075346B">
        <w:rPr>
          <w:lang w:eastAsia="en-AU"/>
        </w:rPr>
        <w:t xml:space="preserve"> </w:t>
      </w:r>
      <w:r w:rsidR="00260AFE">
        <w:rPr>
          <w:lang w:eastAsia="en-AU"/>
        </w:rPr>
        <w:t xml:space="preserve">around the applicability of data available </w:t>
      </w:r>
      <w:r w:rsidR="00BC0EC0">
        <w:rPr>
          <w:lang w:eastAsia="en-AU"/>
        </w:rPr>
        <w:t xml:space="preserve">when setting </w:t>
      </w:r>
      <w:r w:rsidR="00260AFE">
        <w:rPr>
          <w:lang w:eastAsia="en-AU"/>
        </w:rPr>
        <w:t xml:space="preserve">economic analysis </w:t>
      </w:r>
      <w:r w:rsidR="00645DE4">
        <w:rPr>
          <w:lang w:eastAsia="en-AU"/>
        </w:rPr>
        <w:t>parameters</w:t>
      </w:r>
      <w:r w:rsidR="0057443F">
        <w:rPr>
          <w:lang w:eastAsia="en-AU"/>
        </w:rPr>
        <w:t xml:space="preserve">. </w:t>
      </w:r>
      <w:r w:rsidR="001C2912">
        <w:rPr>
          <w:lang w:eastAsia="en-AU"/>
        </w:rPr>
        <w:t xml:space="preserve"> We also drew on studies that in some cases partially align completely to the context of this project. For example, many of the studies covered in our research scan measured outcomes for people with disability, or outcomes for people with suspensions and/or expulsions from school, but not the intersection of these two cohorts. Only a few research analyses attempted to control for disability status when assessing the association of suspensions with subsequent impacts. </w:t>
      </w:r>
    </w:p>
    <w:p w14:paraId="0E2D34A3" w14:textId="77777777" w:rsidR="001C2912" w:rsidRDefault="001C2912" w:rsidP="001C2912">
      <w:pPr>
        <w:pStyle w:val="EYBodytextwithparaspace"/>
        <w:rPr>
          <w:lang w:eastAsia="en-AU"/>
        </w:rPr>
      </w:pPr>
      <w:r>
        <w:rPr>
          <w:lang w:eastAsia="en-AU"/>
        </w:rPr>
        <w:t xml:space="preserve">In several instances we have assumed that the outcome rates experienced by children with disability and suspensions are </w:t>
      </w:r>
      <w:proofErr w:type="gramStart"/>
      <w:r>
        <w:rPr>
          <w:lang w:eastAsia="en-AU"/>
        </w:rPr>
        <w:t>similar to</w:t>
      </w:r>
      <w:proofErr w:type="gramEnd"/>
      <w:r>
        <w:rPr>
          <w:lang w:eastAsia="en-AU"/>
        </w:rPr>
        <w:t xml:space="preserve"> those of all children with suspensions or of all children with disability. In practice this may not always be the case. </w:t>
      </w:r>
    </w:p>
    <w:p w14:paraId="7EAB9917" w14:textId="36DE6DF6" w:rsidR="00B33878" w:rsidRDefault="00CC0614" w:rsidP="001C2912">
      <w:pPr>
        <w:pStyle w:val="EYBodytextwithparaspace"/>
        <w:rPr>
          <w:lang w:eastAsia="en-AU"/>
        </w:rPr>
      </w:pPr>
      <w:r w:rsidRPr="00444BD5">
        <w:rPr>
          <w:lang w:eastAsia="en-AU"/>
        </w:rPr>
        <w:t xml:space="preserve">These </w:t>
      </w:r>
      <w:r w:rsidR="00FB5084" w:rsidRPr="00444BD5">
        <w:rPr>
          <w:lang w:eastAsia="en-AU"/>
        </w:rPr>
        <w:t>include:</w:t>
      </w:r>
      <w:r w:rsidR="00B33878" w:rsidRPr="00444BD5">
        <w:rPr>
          <w:lang w:eastAsia="en-AU"/>
        </w:rPr>
        <w:t xml:space="preserve"> </w:t>
      </w:r>
    </w:p>
    <w:tbl>
      <w:tblPr>
        <w:tblStyle w:val="TableGrid"/>
        <w:tblW w:w="5000" w:type="pct"/>
        <w:tblCellMar>
          <w:top w:w="57" w:type="dxa"/>
        </w:tblCellMar>
        <w:tblLook w:val="04A0" w:firstRow="1" w:lastRow="0" w:firstColumn="1" w:lastColumn="0" w:noHBand="0" w:noVBand="1"/>
      </w:tblPr>
      <w:tblGrid>
        <w:gridCol w:w="1847"/>
        <w:gridCol w:w="720"/>
        <w:gridCol w:w="6496"/>
      </w:tblGrid>
      <w:tr w:rsidR="0025325D" w:rsidRPr="00193957" w14:paraId="635D6B61" w14:textId="77777777" w:rsidTr="008477C5">
        <w:trPr>
          <w:tblHeader/>
        </w:trPr>
        <w:tc>
          <w:tcPr>
            <w:tcW w:w="1019" w:type="pct"/>
            <w:shd w:val="clear" w:color="auto" w:fill="A6A6A6" w:themeFill="background1" w:themeFillShade="A6"/>
          </w:tcPr>
          <w:p w14:paraId="45F6E220" w14:textId="2C759738" w:rsidR="0025325D" w:rsidRDefault="0025325D" w:rsidP="00381AA1">
            <w:pPr>
              <w:pStyle w:val="EYTableHeadingWhite"/>
              <w:rPr>
                <w:color w:val="FFFFFF" w:themeColor="background1"/>
                <w:sz w:val="22"/>
                <w:szCs w:val="22"/>
              </w:rPr>
            </w:pPr>
            <w:r w:rsidRPr="0025325D">
              <w:rPr>
                <w:lang w:eastAsia="en-AU"/>
              </w:rPr>
              <w:t>Data</w:t>
            </w:r>
          </w:p>
        </w:tc>
        <w:tc>
          <w:tcPr>
            <w:tcW w:w="397" w:type="pct"/>
            <w:shd w:val="clear" w:color="auto" w:fill="A6A6A6" w:themeFill="background1" w:themeFillShade="A6"/>
          </w:tcPr>
          <w:p w14:paraId="0EBDE7D0" w14:textId="2F7A53A0" w:rsidR="0025325D" w:rsidRPr="00193957" w:rsidRDefault="0025325D" w:rsidP="00381AA1">
            <w:pPr>
              <w:pStyle w:val="EYTableHeadingWhite"/>
              <w:rPr>
                <w:color w:val="FFFFFF" w:themeColor="background1"/>
                <w:sz w:val="22"/>
                <w:szCs w:val="22"/>
              </w:rPr>
            </w:pPr>
            <w:r w:rsidRPr="0025325D">
              <w:rPr>
                <w:lang w:eastAsia="en-AU"/>
              </w:rPr>
              <w:t>Ref</w:t>
            </w:r>
            <w:r w:rsidR="00BA67F7">
              <w:rPr>
                <w:lang w:eastAsia="en-AU"/>
              </w:rPr>
              <w:t xml:space="preserve"> ID</w:t>
            </w:r>
          </w:p>
        </w:tc>
        <w:tc>
          <w:tcPr>
            <w:tcW w:w="3584" w:type="pct"/>
            <w:shd w:val="clear" w:color="auto" w:fill="A6A6A6" w:themeFill="background1" w:themeFillShade="A6"/>
          </w:tcPr>
          <w:p w14:paraId="2B4DD126" w14:textId="762AC728" w:rsidR="0025325D" w:rsidRPr="00193957" w:rsidRDefault="0025325D" w:rsidP="00381AA1">
            <w:pPr>
              <w:pStyle w:val="EYTableHeadingWhite"/>
              <w:rPr>
                <w:color w:val="FFFFFF" w:themeColor="background1"/>
                <w:sz w:val="22"/>
                <w:szCs w:val="22"/>
              </w:rPr>
            </w:pPr>
            <w:r w:rsidRPr="0025325D">
              <w:rPr>
                <w:lang w:eastAsia="en-AU"/>
              </w:rPr>
              <w:t>Assumption</w:t>
            </w:r>
          </w:p>
        </w:tc>
      </w:tr>
      <w:tr w:rsidR="0025325D" w:rsidRPr="00A07E0C" w14:paraId="317D0AEF" w14:textId="77777777" w:rsidTr="008477C5">
        <w:tc>
          <w:tcPr>
            <w:tcW w:w="1019" w:type="pct"/>
            <w:shd w:val="clear" w:color="auto" w:fill="auto"/>
          </w:tcPr>
          <w:p w14:paraId="11ED5A82" w14:textId="622730EE" w:rsidR="0025325D" w:rsidRPr="00A07E0C" w:rsidRDefault="0025325D" w:rsidP="00381AA1">
            <w:pPr>
              <w:pStyle w:val="EYTableText"/>
            </w:pPr>
            <w:r w:rsidRPr="0025325D">
              <w:rPr>
                <w:lang w:eastAsia="en-AU"/>
              </w:rPr>
              <w:t>NCCD verified disabilities</w:t>
            </w:r>
          </w:p>
        </w:tc>
        <w:tc>
          <w:tcPr>
            <w:tcW w:w="397" w:type="pct"/>
          </w:tcPr>
          <w:p w14:paraId="1866065C" w14:textId="148D0DC7" w:rsidR="0025325D" w:rsidRPr="00A07E0C" w:rsidRDefault="0025325D" w:rsidP="00381AA1">
            <w:pPr>
              <w:pStyle w:val="EYTableText"/>
            </w:pPr>
            <w:r w:rsidRPr="0025325D">
              <w:rPr>
                <w:lang w:eastAsia="en-AU"/>
              </w:rPr>
              <w:t>1</w:t>
            </w:r>
          </w:p>
        </w:tc>
        <w:tc>
          <w:tcPr>
            <w:tcW w:w="3584" w:type="pct"/>
            <w:shd w:val="clear" w:color="auto" w:fill="auto"/>
          </w:tcPr>
          <w:p w14:paraId="025653AE" w14:textId="77777777" w:rsidR="0025325D" w:rsidRPr="0025325D" w:rsidRDefault="0025325D" w:rsidP="00381AA1">
            <w:pPr>
              <w:pStyle w:val="EYTableText"/>
              <w:rPr>
                <w:lang w:eastAsia="en-AU"/>
              </w:rPr>
            </w:pPr>
            <w:r w:rsidRPr="0025325D">
              <w:rPr>
                <w:lang w:eastAsia="en-AU"/>
              </w:rPr>
              <w:t xml:space="preserve">Nationally Consistent Collection of Data on School Students with Disability (NCCD) verified disabilities were chosen over students with EAP verified disabilities. EAP verified disabilities capture a limited set of disability categories and the EAP </w:t>
            </w:r>
            <w:r w:rsidRPr="0025325D">
              <w:rPr>
                <w:lang w:eastAsia="en-AU"/>
              </w:rPr>
              <w:lastRenderedPageBreak/>
              <w:t>prevalence rate is at 6%, which is lower than the NCCD rate of 20.3% and the national average disability prevalence rate of approximately 10%.</w:t>
            </w:r>
          </w:p>
          <w:p w14:paraId="59B5E0C7" w14:textId="44D4D928" w:rsidR="0025325D" w:rsidRPr="00A07E0C" w:rsidRDefault="0025325D" w:rsidP="00381AA1">
            <w:pPr>
              <w:pStyle w:val="EYTableText"/>
            </w:pPr>
            <w:r w:rsidRPr="0025325D">
              <w:rPr>
                <w:lang w:eastAsia="en-AU"/>
              </w:rPr>
              <w:t xml:space="preserve">NCCD is a definition of disability based on the Disability Discrimination Act and used by other state jurisdiction Education agencies. It is noted that the NCCD definition is broader than that used in the ABS Survey of Disability, Ageing and Carers (SDAC), a national source of data on disability prevalence and other observations. </w:t>
            </w:r>
          </w:p>
        </w:tc>
      </w:tr>
      <w:tr w:rsidR="0025325D" w:rsidRPr="00DA144E" w14:paraId="4F42D518" w14:textId="77777777" w:rsidTr="008477C5">
        <w:tc>
          <w:tcPr>
            <w:tcW w:w="1019" w:type="pct"/>
            <w:shd w:val="clear" w:color="auto" w:fill="auto"/>
          </w:tcPr>
          <w:p w14:paraId="25194818" w14:textId="349BAE0C" w:rsidR="0025325D" w:rsidRDefault="0025325D" w:rsidP="00381AA1">
            <w:pPr>
              <w:pStyle w:val="EYTableText"/>
            </w:pPr>
            <w:r w:rsidRPr="0025325D">
              <w:rPr>
                <w:lang w:eastAsia="en-AU"/>
              </w:rPr>
              <w:lastRenderedPageBreak/>
              <w:t>Carer opportunity cost</w:t>
            </w:r>
          </w:p>
        </w:tc>
        <w:tc>
          <w:tcPr>
            <w:tcW w:w="397" w:type="pct"/>
          </w:tcPr>
          <w:p w14:paraId="4437F535" w14:textId="5370DD06" w:rsidR="0025325D" w:rsidRPr="00DA144E" w:rsidRDefault="0025325D" w:rsidP="00381AA1">
            <w:pPr>
              <w:pStyle w:val="EYTableText"/>
            </w:pPr>
            <w:r w:rsidRPr="0025325D">
              <w:rPr>
                <w:lang w:eastAsia="en-AU"/>
              </w:rPr>
              <w:t>2</w:t>
            </w:r>
          </w:p>
        </w:tc>
        <w:tc>
          <w:tcPr>
            <w:tcW w:w="3584" w:type="pct"/>
            <w:shd w:val="clear" w:color="auto" w:fill="auto"/>
          </w:tcPr>
          <w:p w14:paraId="5DC0F9FA" w14:textId="748E1C13" w:rsidR="0025325D" w:rsidRPr="00DA144E" w:rsidRDefault="0025325D" w:rsidP="00381AA1">
            <w:pPr>
              <w:pStyle w:val="EYTableText"/>
            </w:pPr>
            <w:r w:rsidRPr="0025325D">
              <w:rPr>
                <w:lang w:eastAsia="en-AU"/>
              </w:rPr>
              <w:t>Carer full time employment rate (70.9%) was used to estimate the cost of minding children whilst they were suspended. However, this does not account for extended family/kin who could also potentially care for children outside school (e.g. grandparents). Carers may also have flexible working arrangements such as carers leave, work from home or non-fixed hours that would result in a lower productivity loss</w:t>
            </w:r>
            <w:r w:rsidR="002E1658">
              <w:rPr>
                <w:lang w:eastAsia="en-AU"/>
              </w:rPr>
              <w:t xml:space="preserve"> in the shorter term.</w:t>
            </w:r>
          </w:p>
        </w:tc>
      </w:tr>
      <w:tr w:rsidR="0025325D" w:rsidRPr="00DA144E" w14:paraId="7160C386" w14:textId="77777777" w:rsidTr="008477C5">
        <w:tc>
          <w:tcPr>
            <w:tcW w:w="1019" w:type="pct"/>
            <w:shd w:val="clear" w:color="auto" w:fill="auto"/>
          </w:tcPr>
          <w:p w14:paraId="448F632F" w14:textId="3216A4B7" w:rsidR="0025325D" w:rsidRPr="00961D95" w:rsidRDefault="0025325D" w:rsidP="00381AA1">
            <w:pPr>
              <w:pStyle w:val="EYTableText"/>
            </w:pPr>
            <w:r w:rsidRPr="0025325D">
              <w:rPr>
                <w:lang w:eastAsia="en-AU"/>
              </w:rPr>
              <w:t>Teacher opportunity cost</w:t>
            </w:r>
          </w:p>
        </w:tc>
        <w:tc>
          <w:tcPr>
            <w:tcW w:w="397" w:type="pct"/>
          </w:tcPr>
          <w:p w14:paraId="1925C1D3" w14:textId="29B9D2D4" w:rsidR="0025325D" w:rsidRPr="00961D95" w:rsidRDefault="0025325D" w:rsidP="00381AA1">
            <w:pPr>
              <w:pStyle w:val="EYTableText"/>
            </w:pPr>
            <w:r w:rsidRPr="0025325D">
              <w:rPr>
                <w:lang w:eastAsia="en-AU"/>
              </w:rPr>
              <w:t>3</w:t>
            </w:r>
          </w:p>
        </w:tc>
        <w:tc>
          <w:tcPr>
            <w:tcW w:w="3584" w:type="pct"/>
            <w:shd w:val="clear" w:color="auto" w:fill="auto"/>
          </w:tcPr>
          <w:p w14:paraId="4BDCD193" w14:textId="58D9DA64" w:rsidR="0025325D" w:rsidRPr="00961D95" w:rsidRDefault="0025325D" w:rsidP="00381AA1">
            <w:pPr>
              <w:pStyle w:val="EYTableText"/>
            </w:pPr>
            <w:r w:rsidRPr="0025325D">
              <w:rPr>
                <w:lang w:eastAsia="en-AU"/>
              </w:rPr>
              <w:t>Teacher salary is taken to be the median of 81,628 (first year of work) – 108,359 (the highest base pay before Senior Teacher)</w:t>
            </w:r>
          </w:p>
        </w:tc>
      </w:tr>
      <w:tr w:rsidR="0025325D" w:rsidRPr="00DA144E" w14:paraId="35C3AA09" w14:textId="77777777" w:rsidTr="008477C5">
        <w:tc>
          <w:tcPr>
            <w:tcW w:w="1019" w:type="pct"/>
            <w:shd w:val="clear" w:color="auto" w:fill="auto"/>
          </w:tcPr>
          <w:p w14:paraId="752E1CDB" w14:textId="389C2431" w:rsidR="0025325D" w:rsidRPr="00C73D38" w:rsidRDefault="0025325D" w:rsidP="00381AA1">
            <w:pPr>
              <w:pStyle w:val="EYTableText"/>
            </w:pPr>
            <w:r w:rsidRPr="0025325D">
              <w:rPr>
                <w:lang w:eastAsia="en-AU"/>
              </w:rPr>
              <w:t>Student performance as reflected in NAPLAN results</w:t>
            </w:r>
          </w:p>
        </w:tc>
        <w:tc>
          <w:tcPr>
            <w:tcW w:w="397" w:type="pct"/>
          </w:tcPr>
          <w:p w14:paraId="69011C9B" w14:textId="59253AED" w:rsidR="0025325D" w:rsidRPr="00C73D38" w:rsidRDefault="0025325D" w:rsidP="00381AA1">
            <w:pPr>
              <w:pStyle w:val="EYTableText"/>
            </w:pPr>
            <w:r w:rsidRPr="0025325D">
              <w:rPr>
                <w:lang w:eastAsia="en-AU"/>
              </w:rPr>
              <w:t>4</w:t>
            </w:r>
          </w:p>
        </w:tc>
        <w:tc>
          <w:tcPr>
            <w:tcW w:w="3584" w:type="pct"/>
            <w:shd w:val="clear" w:color="auto" w:fill="auto"/>
          </w:tcPr>
          <w:p w14:paraId="1A4CD48D" w14:textId="768691EC" w:rsidR="00D95743" w:rsidRDefault="006C6DC5" w:rsidP="00381AA1">
            <w:pPr>
              <w:pStyle w:val="EYTableText"/>
              <w:rPr>
                <w:lang w:eastAsia="en-AU"/>
              </w:rPr>
            </w:pPr>
            <w:r>
              <w:rPr>
                <w:lang w:eastAsia="en-AU"/>
              </w:rPr>
              <w:t>S</w:t>
            </w:r>
            <w:r w:rsidR="00F70341">
              <w:rPr>
                <w:lang w:eastAsia="en-AU"/>
              </w:rPr>
              <w:t xml:space="preserve">tatistics on </w:t>
            </w:r>
            <w:r w:rsidR="00F55575">
              <w:rPr>
                <w:lang w:eastAsia="en-AU"/>
              </w:rPr>
              <w:t>students with suspensions</w:t>
            </w:r>
            <w:r w:rsidR="00803387">
              <w:rPr>
                <w:lang w:eastAsia="en-AU"/>
              </w:rPr>
              <w:t>/exclusions</w:t>
            </w:r>
            <w:r w:rsidR="00F55575">
              <w:rPr>
                <w:lang w:eastAsia="en-AU"/>
              </w:rPr>
              <w:t xml:space="preserve"> achieving </w:t>
            </w:r>
            <w:r>
              <w:rPr>
                <w:lang w:eastAsia="en-AU"/>
              </w:rPr>
              <w:t xml:space="preserve">the South Australia Department of Education’s </w:t>
            </w:r>
            <w:r w:rsidR="0025325D" w:rsidRPr="0025325D">
              <w:rPr>
                <w:lang w:eastAsia="en-AU"/>
              </w:rPr>
              <w:t>Standard of Education Achievement (SEA)</w:t>
            </w:r>
            <w:r w:rsidR="00696FCF">
              <w:rPr>
                <w:lang w:eastAsia="en-AU"/>
              </w:rPr>
              <w:t xml:space="preserve"> in NAPLAN tests</w:t>
            </w:r>
            <w:r w:rsidR="0025325D" w:rsidRPr="0025325D">
              <w:rPr>
                <w:lang w:eastAsia="en-AU"/>
              </w:rPr>
              <w:t xml:space="preserve"> </w:t>
            </w:r>
            <w:r w:rsidR="0058123F">
              <w:rPr>
                <w:lang w:eastAsia="en-AU"/>
              </w:rPr>
              <w:t xml:space="preserve">were </w:t>
            </w:r>
            <w:r>
              <w:rPr>
                <w:lang w:eastAsia="en-AU"/>
              </w:rPr>
              <w:t xml:space="preserve">used </w:t>
            </w:r>
            <w:r w:rsidR="00803387">
              <w:rPr>
                <w:lang w:eastAsia="en-AU"/>
              </w:rPr>
              <w:t xml:space="preserve">to inform assumptions around </w:t>
            </w:r>
            <w:r w:rsidR="00DC495C">
              <w:rPr>
                <w:lang w:eastAsia="en-AU"/>
              </w:rPr>
              <w:t xml:space="preserve">the </w:t>
            </w:r>
            <w:r w:rsidR="00696FCF">
              <w:rPr>
                <w:lang w:eastAsia="en-AU"/>
              </w:rPr>
              <w:t xml:space="preserve">NAPLAN </w:t>
            </w:r>
            <w:r w:rsidR="00DC495C">
              <w:rPr>
                <w:lang w:eastAsia="en-AU"/>
              </w:rPr>
              <w:t xml:space="preserve">performance of Queensland students with disability and suspensions. SEA is defined as achieving </w:t>
            </w:r>
            <w:r w:rsidR="00DC495C" w:rsidRPr="00DC495C">
              <w:rPr>
                <w:lang w:eastAsia="en-AU"/>
              </w:rPr>
              <w:t xml:space="preserve">NAPLAN proficiency bands </w:t>
            </w:r>
            <w:r w:rsidR="00DC495C">
              <w:rPr>
                <w:lang w:eastAsia="en-AU"/>
              </w:rPr>
              <w:t xml:space="preserve">at 1 or more proficiency bands </w:t>
            </w:r>
            <w:r w:rsidR="00D95743">
              <w:rPr>
                <w:lang w:eastAsia="en-AU"/>
              </w:rPr>
              <w:t xml:space="preserve">above </w:t>
            </w:r>
            <w:r w:rsidR="00DC495C" w:rsidRPr="00DC495C">
              <w:rPr>
                <w:lang w:eastAsia="en-AU"/>
              </w:rPr>
              <w:t>the National Minimum Standard</w:t>
            </w:r>
            <w:r w:rsidR="00D95743">
              <w:rPr>
                <w:lang w:eastAsia="en-AU"/>
              </w:rPr>
              <w:t xml:space="preserve">. </w:t>
            </w:r>
          </w:p>
          <w:p w14:paraId="045268BF" w14:textId="69087068" w:rsidR="0025325D" w:rsidRPr="0025325D" w:rsidRDefault="00696FCF" w:rsidP="00381AA1">
            <w:pPr>
              <w:pStyle w:val="EYTableText"/>
              <w:rPr>
                <w:lang w:eastAsia="en-AU"/>
              </w:rPr>
            </w:pPr>
            <w:r>
              <w:rPr>
                <w:lang w:eastAsia="en-AU"/>
              </w:rPr>
              <w:t>The analysis findings from South Australia excluded withdrawals/</w:t>
            </w:r>
            <w:r w:rsidR="0025325D" w:rsidRPr="0025325D">
              <w:rPr>
                <w:lang w:eastAsia="en-AU"/>
              </w:rPr>
              <w:t xml:space="preserve">absences. </w:t>
            </w:r>
            <w:r w:rsidR="0032403D">
              <w:rPr>
                <w:lang w:eastAsia="en-AU"/>
              </w:rPr>
              <w:t xml:space="preserve">The study notes </w:t>
            </w:r>
            <w:r w:rsidR="0025325D" w:rsidRPr="0025325D">
              <w:rPr>
                <w:lang w:eastAsia="en-AU"/>
              </w:rPr>
              <w:t>that students with disabilities and those with suspensions are more likely to be absent during an exam.</w:t>
            </w:r>
          </w:p>
          <w:p w14:paraId="0515F0CD" w14:textId="4145065F" w:rsidR="0025325D" w:rsidRPr="00C73D38" w:rsidRDefault="0032403D" w:rsidP="00381AA1">
            <w:pPr>
              <w:pStyle w:val="EYTableText"/>
            </w:pPr>
            <w:r>
              <w:rPr>
                <w:lang w:eastAsia="en-AU"/>
              </w:rPr>
              <w:t xml:space="preserve">No data was available on the NAPLAN performance of </w:t>
            </w:r>
            <w:r w:rsidR="0025325D" w:rsidRPr="0025325D">
              <w:rPr>
                <w:lang w:eastAsia="en-AU"/>
              </w:rPr>
              <w:t xml:space="preserve">students with </w:t>
            </w:r>
            <w:r>
              <w:rPr>
                <w:lang w:eastAsia="en-AU"/>
              </w:rPr>
              <w:t xml:space="preserve">both a </w:t>
            </w:r>
            <w:r w:rsidR="0025325D" w:rsidRPr="0025325D">
              <w:rPr>
                <w:lang w:eastAsia="en-AU"/>
              </w:rPr>
              <w:t>history of suspensions and disability.</w:t>
            </w:r>
          </w:p>
        </w:tc>
      </w:tr>
      <w:tr w:rsidR="0025325D" w:rsidRPr="00DA144E" w14:paraId="502D9675" w14:textId="77777777" w:rsidTr="008477C5">
        <w:tc>
          <w:tcPr>
            <w:tcW w:w="1019" w:type="pct"/>
            <w:shd w:val="clear" w:color="auto" w:fill="auto"/>
          </w:tcPr>
          <w:p w14:paraId="70630C8C" w14:textId="70DAEACE" w:rsidR="0025325D" w:rsidRPr="00C73D38" w:rsidRDefault="0025325D" w:rsidP="00381AA1">
            <w:pPr>
              <w:pStyle w:val="EYTableText"/>
            </w:pPr>
            <w:r w:rsidRPr="0025325D">
              <w:rPr>
                <w:lang w:eastAsia="en-AU"/>
              </w:rPr>
              <w:t>Student performance and wellbeing influences</w:t>
            </w:r>
          </w:p>
        </w:tc>
        <w:tc>
          <w:tcPr>
            <w:tcW w:w="397" w:type="pct"/>
          </w:tcPr>
          <w:p w14:paraId="1035B21E" w14:textId="196ED7D3" w:rsidR="0025325D" w:rsidRPr="00C73D38" w:rsidRDefault="0025325D" w:rsidP="00381AA1">
            <w:pPr>
              <w:pStyle w:val="EYTableText"/>
            </w:pPr>
            <w:r w:rsidRPr="0025325D">
              <w:rPr>
                <w:lang w:eastAsia="en-AU"/>
              </w:rPr>
              <w:t>5</w:t>
            </w:r>
          </w:p>
        </w:tc>
        <w:tc>
          <w:tcPr>
            <w:tcW w:w="3584" w:type="pct"/>
            <w:shd w:val="clear" w:color="auto" w:fill="auto"/>
          </w:tcPr>
          <w:p w14:paraId="22E5424F" w14:textId="4C5A7E36" w:rsidR="0025325D" w:rsidRPr="00C73D38" w:rsidRDefault="0025325D" w:rsidP="00381AA1">
            <w:pPr>
              <w:pStyle w:val="EYTableText"/>
            </w:pPr>
            <w:r w:rsidRPr="0025325D">
              <w:rPr>
                <w:lang w:eastAsia="en-AU"/>
              </w:rPr>
              <w:t xml:space="preserve">There are many unobserved factors involved in students’ life which can also influence student learning, development and educational achievement alongside school disengagement and suspensions, such as their household’s socioeconomic characteristics, family circumstances and broader school and community factors. It is likely that the </w:t>
            </w:r>
            <w:proofErr w:type="gramStart"/>
            <w:r w:rsidRPr="0025325D">
              <w:rPr>
                <w:lang w:eastAsia="en-AU"/>
              </w:rPr>
              <w:t>short and longer term</w:t>
            </w:r>
            <w:proofErr w:type="gramEnd"/>
            <w:r w:rsidRPr="0025325D">
              <w:rPr>
                <w:lang w:eastAsia="en-AU"/>
              </w:rPr>
              <w:t xml:space="preserve"> impacts estimated in this analysis will have been at least partially influenced by these factors.</w:t>
            </w:r>
          </w:p>
        </w:tc>
      </w:tr>
      <w:tr w:rsidR="00B7244D" w:rsidRPr="00DA144E" w14:paraId="299152B0" w14:textId="77777777" w:rsidTr="008477C5">
        <w:tc>
          <w:tcPr>
            <w:tcW w:w="1019" w:type="pct"/>
            <w:shd w:val="clear" w:color="auto" w:fill="auto"/>
          </w:tcPr>
          <w:p w14:paraId="1A206A3E" w14:textId="6F097FE5" w:rsidR="00B7244D" w:rsidRPr="00B7244D" w:rsidRDefault="00B7244D" w:rsidP="00381AA1">
            <w:pPr>
              <w:pStyle w:val="EYTableText"/>
              <w:rPr>
                <w:lang w:eastAsia="en-AU"/>
              </w:rPr>
            </w:pPr>
            <w:r w:rsidRPr="00B7244D">
              <w:rPr>
                <w:lang w:eastAsia="en-AU"/>
              </w:rPr>
              <w:t>Students are 18.1% more likely to not complete Year 12 because of suspensions</w:t>
            </w:r>
          </w:p>
        </w:tc>
        <w:tc>
          <w:tcPr>
            <w:tcW w:w="397" w:type="pct"/>
          </w:tcPr>
          <w:p w14:paraId="6898817F" w14:textId="5A7C7A16" w:rsidR="00B7244D" w:rsidRPr="00B7244D" w:rsidRDefault="00B7244D" w:rsidP="00381AA1">
            <w:pPr>
              <w:pStyle w:val="EYTableText"/>
              <w:rPr>
                <w:lang w:eastAsia="en-AU"/>
              </w:rPr>
            </w:pPr>
            <w:r w:rsidRPr="00B7244D">
              <w:rPr>
                <w:lang w:eastAsia="en-AU"/>
              </w:rPr>
              <w:t>6</w:t>
            </w:r>
          </w:p>
        </w:tc>
        <w:tc>
          <w:tcPr>
            <w:tcW w:w="3584" w:type="pct"/>
            <w:shd w:val="clear" w:color="auto" w:fill="auto"/>
          </w:tcPr>
          <w:p w14:paraId="74648E9B" w14:textId="77777777" w:rsidR="00B7244D" w:rsidRPr="00B7244D" w:rsidRDefault="00B7244D" w:rsidP="00381AA1">
            <w:pPr>
              <w:pStyle w:val="EYTableText"/>
              <w:rPr>
                <w:lang w:eastAsia="en-AU"/>
              </w:rPr>
            </w:pPr>
            <w:r w:rsidRPr="00B7244D">
              <w:rPr>
                <w:lang w:eastAsia="en-AU"/>
              </w:rPr>
              <w:t>This is a 2013 study conducted by the Australian National University to understand the educational penalty for being suspended from school. We assumed this impact is the same for children with disabilities as for other children, as this study did not differentiate findings by disability status. In practice the impact of suspensions may be larger or smaller for children with disability.</w:t>
            </w:r>
          </w:p>
          <w:p w14:paraId="50BFD0BC" w14:textId="77777777" w:rsidR="00B7244D" w:rsidRPr="00B7244D" w:rsidRDefault="00B7244D" w:rsidP="00381AA1">
            <w:pPr>
              <w:pStyle w:val="EYTableText"/>
              <w:rPr>
                <w:lang w:eastAsia="en-AU"/>
              </w:rPr>
            </w:pPr>
            <w:r w:rsidRPr="00B7244D">
              <w:rPr>
                <w:lang w:eastAsia="en-AU"/>
              </w:rPr>
              <w:t>The completion rate controls for reported own schooling experience, family welfare history, and family characteristics when the respondent was 14 years of age.</w:t>
            </w:r>
          </w:p>
          <w:p w14:paraId="3DACCF16" w14:textId="69B7A305" w:rsidR="00B7244D" w:rsidRPr="00B7244D" w:rsidRDefault="00B7244D" w:rsidP="00381AA1">
            <w:pPr>
              <w:pStyle w:val="EYTableText"/>
              <w:rPr>
                <w:lang w:eastAsia="en-AU"/>
              </w:rPr>
            </w:pPr>
            <w:r w:rsidRPr="00B7244D">
              <w:rPr>
                <w:lang w:eastAsia="en-AU"/>
              </w:rPr>
              <w:t>This study uses short term suspensions to count the number of students disassociated from school. This does not account for students who received long-term suspensions or were excluded without a short-term suspension. However, whilst it does occur, it is more common that students receiving long-term suspensions or exclusions have had a history of short-term suspensions. This has a conservative impact on the figures provided.</w:t>
            </w:r>
          </w:p>
        </w:tc>
      </w:tr>
      <w:tr w:rsidR="00B7244D" w:rsidRPr="00DA144E" w14:paraId="19C0CE30" w14:textId="77777777" w:rsidTr="008477C5">
        <w:tc>
          <w:tcPr>
            <w:tcW w:w="1019" w:type="pct"/>
            <w:shd w:val="clear" w:color="auto" w:fill="auto"/>
          </w:tcPr>
          <w:p w14:paraId="68568B55" w14:textId="44F5F825" w:rsidR="00B7244D" w:rsidRPr="00B7244D" w:rsidRDefault="00B7244D" w:rsidP="00381AA1">
            <w:pPr>
              <w:pStyle w:val="EYTableText"/>
              <w:rPr>
                <w:lang w:eastAsia="en-AU"/>
              </w:rPr>
            </w:pPr>
            <w:r w:rsidRPr="00B7244D">
              <w:rPr>
                <w:lang w:eastAsia="en-AU"/>
              </w:rPr>
              <w:t>Data used to inform assumptions around teacher classroom time impacts</w:t>
            </w:r>
          </w:p>
        </w:tc>
        <w:tc>
          <w:tcPr>
            <w:tcW w:w="397" w:type="pct"/>
          </w:tcPr>
          <w:p w14:paraId="5B2C2FDE" w14:textId="2B3D6A8D" w:rsidR="00B7244D" w:rsidRPr="00B7244D" w:rsidRDefault="00B7244D" w:rsidP="00381AA1">
            <w:pPr>
              <w:pStyle w:val="EYTableText"/>
              <w:rPr>
                <w:lang w:eastAsia="en-AU"/>
              </w:rPr>
            </w:pPr>
            <w:r w:rsidRPr="00B7244D">
              <w:rPr>
                <w:lang w:eastAsia="en-AU"/>
              </w:rPr>
              <w:t>7</w:t>
            </w:r>
          </w:p>
        </w:tc>
        <w:tc>
          <w:tcPr>
            <w:tcW w:w="3584" w:type="pct"/>
            <w:shd w:val="clear" w:color="auto" w:fill="auto"/>
          </w:tcPr>
          <w:p w14:paraId="39EA3C8B" w14:textId="77777777" w:rsidR="00FC191B" w:rsidRDefault="00FC191B" w:rsidP="00FC191B">
            <w:pPr>
              <w:pStyle w:val="EYTableText"/>
              <w:rPr>
                <w:lang w:eastAsia="en-AU"/>
              </w:rPr>
            </w:pPr>
            <w:r>
              <w:rPr>
                <w:lang w:eastAsia="en-AU"/>
              </w:rPr>
              <w:t xml:space="preserve">Key assumptions based on this study </w:t>
            </w:r>
            <w:proofErr w:type="gramStart"/>
            <w:r>
              <w:rPr>
                <w:lang w:eastAsia="en-AU"/>
              </w:rPr>
              <w:t>include:</w:t>
            </w:r>
            <w:proofErr w:type="gramEnd"/>
            <w:r>
              <w:rPr>
                <w:lang w:eastAsia="en-AU"/>
              </w:rPr>
              <w:t xml:space="preserve"> Lower secondary school teachers use 14.5% of their classroom time maintaining order, and lower secondary school teachers spend 27.2 hours teaching per week. These assumptions were drawn from the Australia lower secondary school indicators from the OECD Teacher and Learning International Study (TALIS) 2018 results. </w:t>
            </w:r>
          </w:p>
          <w:p w14:paraId="49353861" w14:textId="6A2176D0" w:rsidR="00B7244D" w:rsidRPr="00B7244D" w:rsidRDefault="00FC191B" w:rsidP="00FC191B">
            <w:pPr>
              <w:pStyle w:val="EYTableText"/>
              <w:rPr>
                <w:lang w:eastAsia="en-AU"/>
              </w:rPr>
            </w:pPr>
            <w:r>
              <w:rPr>
                <w:lang w:eastAsia="en-AU"/>
              </w:rPr>
              <w:t xml:space="preserve">Actual time spent by Queensland teachers on managing classroom behaviour may vary from the national average. As part of the survey data collection methodology, the OECD excluded the collection of information from some specialist schools, such as those for students with special needs. This may mean that 14.5% is not a </w:t>
            </w:r>
            <w:r>
              <w:rPr>
                <w:lang w:eastAsia="en-AU"/>
              </w:rPr>
              <w:lastRenderedPageBreak/>
              <w:t>representative proportion of the time spent maintaining classroom behaviour for all the Queensland teachers our study relates to, and that the actual figure could be higher or lower than 14.5%.</w:t>
            </w:r>
            <w:r w:rsidR="00B7244D" w:rsidRPr="00B7244D">
              <w:rPr>
                <w:lang w:eastAsia="en-AU"/>
              </w:rPr>
              <w:t xml:space="preserve"> </w:t>
            </w:r>
          </w:p>
        </w:tc>
      </w:tr>
      <w:tr w:rsidR="00B7244D" w:rsidRPr="00DA144E" w14:paraId="7317F16F" w14:textId="77777777" w:rsidTr="008477C5">
        <w:tc>
          <w:tcPr>
            <w:tcW w:w="1019" w:type="pct"/>
            <w:tcBorders>
              <w:bottom w:val="single" w:sz="4" w:space="0" w:color="auto"/>
            </w:tcBorders>
            <w:shd w:val="clear" w:color="auto" w:fill="auto"/>
          </w:tcPr>
          <w:p w14:paraId="18A89D1F" w14:textId="22129B64" w:rsidR="00B7244D" w:rsidRPr="00B7244D" w:rsidRDefault="00B7244D" w:rsidP="00381AA1">
            <w:pPr>
              <w:pStyle w:val="EYTableText"/>
              <w:rPr>
                <w:lang w:eastAsia="en-AU"/>
              </w:rPr>
            </w:pPr>
            <w:r w:rsidRPr="00B7244D">
              <w:rPr>
                <w:lang w:eastAsia="en-AU"/>
              </w:rPr>
              <w:lastRenderedPageBreak/>
              <w:t>Employment and income statistics for persons with disability</w:t>
            </w:r>
          </w:p>
        </w:tc>
        <w:tc>
          <w:tcPr>
            <w:tcW w:w="397" w:type="pct"/>
          </w:tcPr>
          <w:p w14:paraId="17A07BAA" w14:textId="3EE01C1A" w:rsidR="00B7244D" w:rsidRPr="00B7244D" w:rsidRDefault="00B7244D" w:rsidP="00381AA1">
            <w:pPr>
              <w:pStyle w:val="EYTableText"/>
              <w:rPr>
                <w:lang w:eastAsia="en-AU"/>
              </w:rPr>
            </w:pPr>
            <w:r w:rsidRPr="00B7244D">
              <w:rPr>
                <w:lang w:eastAsia="en-AU"/>
              </w:rPr>
              <w:t>8</w:t>
            </w:r>
          </w:p>
        </w:tc>
        <w:tc>
          <w:tcPr>
            <w:tcW w:w="3584" w:type="pct"/>
            <w:shd w:val="clear" w:color="auto" w:fill="auto"/>
          </w:tcPr>
          <w:p w14:paraId="02B4F497" w14:textId="36A2E3F1" w:rsidR="00B7244D" w:rsidRPr="00B7244D" w:rsidRDefault="00B7244D" w:rsidP="00381AA1">
            <w:pPr>
              <w:pStyle w:val="EYTableText"/>
              <w:rPr>
                <w:lang w:eastAsia="en-AU"/>
              </w:rPr>
            </w:pPr>
            <w:r w:rsidRPr="00B7244D">
              <w:rPr>
                <w:lang w:eastAsia="en-AU"/>
              </w:rPr>
              <w:t>This study reports on data collected in 2018 and includes disabilities developed in adult life as well as those present during school years. We have assumed the impact of Year 12 education non-attainment is similar for those with disabilities regardless of when disability was acquired.</w:t>
            </w:r>
          </w:p>
        </w:tc>
      </w:tr>
      <w:tr w:rsidR="00D65531" w:rsidRPr="00DA144E" w14:paraId="68ED327C" w14:textId="77777777" w:rsidTr="008477C5">
        <w:tc>
          <w:tcPr>
            <w:tcW w:w="1019" w:type="pct"/>
            <w:tcBorders>
              <w:bottom w:val="nil"/>
            </w:tcBorders>
            <w:shd w:val="clear" w:color="auto" w:fill="auto"/>
          </w:tcPr>
          <w:p w14:paraId="30E84A76" w14:textId="4DE0DB20" w:rsidR="00D65531" w:rsidRPr="00B7244D" w:rsidRDefault="00BA67F7" w:rsidP="00381AA1">
            <w:pPr>
              <w:pStyle w:val="EYTableText"/>
              <w:rPr>
                <w:lang w:eastAsia="en-AU"/>
              </w:rPr>
            </w:pPr>
            <w:r w:rsidRPr="00BA67F7">
              <w:rPr>
                <w:lang w:eastAsia="en-AU"/>
              </w:rPr>
              <w:t>Data used to inform assumptions around impacts of suspensions on youth justice contact for young people with disability</w:t>
            </w:r>
          </w:p>
        </w:tc>
        <w:tc>
          <w:tcPr>
            <w:tcW w:w="397" w:type="pct"/>
          </w:tcPr>
          <w:p w14:paraId="5A7D6D1A" w14:textId="6A1A9A8E" w:rsidR="00D65531" w:rsidRPr="00B7244D" w:rsidRDefault="00D65531" w:rsidP="00381AA1">
            <w:pPr>
              <w:pStyle w:val="EYTableText"/>
              <w:rPr>
                <w:lang w:eastAsia="en-AU"/>
              </w:rPr>
            </w:pPr>
            <w:r>
              <w:rPr>
                <w:rFonts w:eastAsiaTheme="minorEastAsia"/>
              </w:rPr>
              <w:t>9</w:t>
            </w:r>
          </w:p>
        </w:tc>
        <w:tc>
          <w:tcPr>
            <w:tcW w:w="3584" w:type="pct"/>
            <w:shd w:val="clear" w:color="auto" w:fill="auto"/>
          </w:tcPr>
          <w:p w14:paraId="18CF6F4A" w14:textId="19A8299B" w:rsidR="00D65531" w:rsidRPr="00B7244D" w:rsidRDefault="00D65531" w:rsidP="00381AA1">
            <w:pPr>
              <w:pStyle w:val="EYTableText"/>
              <w:rPr>
                <w:lang w:eastAsia="en-AU"/>
              </w:rPr>
            </w:pPr>
            <w:r>
              <w:t>The NSW NDDA pilot studies around youth offending for young people with disability were based on a disability cohort that represented 3.5% of the birth cohort population in NSW, using definitions that are likely to be different to the NCCD definition of disability. When used in our calculations, we assumed that a comparable proportion from the NCCD population would experience similar rates of youth justice system contact to the disability cohort in the NSW NDDA study, while the remainder would experience general population rates of contact with the youth justice system.</w:t>
            </w:r>
          </w:p>
        </w:tc>
      </w:tr>
      <w:tr w:rsidR="00D65531" w:rsidRPr="00DA144E" w14:paraId="44AA5D95" w14:textId="77777777" w:rsidTr="008477C5">
        <w:tc>
          <w:tcPr>
            <w:tcW w:w="1019" w:type="pct"/>
            <w:tcBorders>
              <w:top w:val="nil"/>
              <w:bottom w:val="nil"/>
            </w:tcBorders>
            <w:shd w:val="clear" w:color="auto" w:fill="auto"/>
          </w:tcPr>
          <w:p w14:paraId="776968CE" w14:textId="77777777" w:rsidR="00D65531" w:rsidRPr="00B7244D" w:rsidRDefault="00D65531" w:rsidP="00381AA1">
            <w:pPr>
              <w:pStyle w:val="EYTableText"/>
              <w:rPr>
                <w:lang w:eastAsia="en-AU"/>
              </w:rPr>
            </w:pPr>
          </w:p>
        </w:tc>
        <w:tc>
          <w:tcPr>
            <w:tcW w:w="397" w:type="pct"/>
          </w:tcPr>
          <w:p w14:paraId="21E6B08E" w14:textId="6350E7FD" w:rsidR="00D65531" w:rsidRPr="00B7244D" w:rsidRDefault="00D65531" w:rsidP="00381AA1">
            <w:pPr>
              <w:pStyle w:val="EYTableText"/>
              <w:rPr>
                <w:lang w:eastAsia="en-AU"/>
              </w:rPr>
            </w:pPr>
            <w:r>
              <w:rPr>
                <w:rFonts w:eastAsiaTheme="minorEastAsia"/>
              </w:rPr>
              <w:t>10</w:t>
            </w:r>
          </w:p>
        </w:tc>
        <w:tc>
          <w:tcPr>
            <w:tcW w:w="3584" w:type="pct"/>
            <w:shd w:val="clear" w:color="auto" w:fill="auto"/>
          </w:tcPr>
          <w:p w14:paraId="58F2758F" w14:textId="77777777" w:rsidR="00D65531" w:rsidRDefault="00D65531" w:rsidP="00381AA1">
            <w:pPr>
              <w:pStyle w:val="EYTableText"/>
            </w:pPr>
            <w:r>
              <w:t>Likelihood of young people with suspensions having offending contact, relative to other young people without suspensions have been estimated as 1.5–2x. Assumptions are based on Australian studies which found that:</w:t>
            </w:r>
          </w:p>
          <w:p w14:paraId="14B680C0" w14:textId="277991D9" w:rsidR="00D65531" w:rsidRPr="00D65531" w:rsidRDefault="00D65531" w:rsidP="00381AA1">
            <w:pPr>
              <w:pStyle w:val="EYTableText"/>
              <w:rPr>
                <w:rFonts w:ascii="Arial" w:hAnsi="Arial" w:cs="Arial"/>
                <w:sz w:val="36"/>
                <w:szCs w:val="36"/>
              </w:rPr>
            </w:pPr>
            <w:r>
              <w:t>children with school suspensions were associated with a 1.5x likelihood of ‘antisocial behaviour’</w:t>
            </w:r>
            <w:r w:rsidR="002647C9">
              <w:rPr>
                <w:rStyle w:val="FootnoteReference"/>
              </w:rPr>
              <w:footnoteReference w:id="3"/>
            </w:r>
            <w:r>
              <w:t xml:space="preserve"> and </w:t>
            </w:r>
          </w:p>
          <w:p w14:paraId="2A100C08" w14:textId="0AC52E89" w:rsidR="00D65531" w:rsidRPr="00B7244D" w:rsidRDefault="00D65531" w:rsidP="00381AA1">
            <w:pPr>
              <w:pStyle w:val="EYTableText"/>
              <w:rPr>
                <w:lang w:eastAsia="en-AU"/>
              </w:rPr>
            </w:pPr>
            <w:r>
              <w:t>“</w:t>
            </w:r>
            <w:proofErr w:type="gramStart"/>
            <w:r>
              <w:t>children</w:t>
            </w:r>
            <w:proofErr w:type="gramEnd"/>
            <w:r>
              <w:t xml:space="preserve"> with teacher-identified emotional or behavioural problems at school entry had an incidence rate of police contact that was twice that of children without such problems”</w:t>
            </w:r>
            <w:r w:rsidR="002647C9">
              <w:rPr>
                <w:rStyle w:val="FootnoteReference"/>
              </w:rPr>
              <w:footnoteReference w:id="4"/>
            </w:r>
            <w:r>
              <w:t>.</w:t>
            </w:r>
          </w:p>
        </w:tc>
      </w:tr>
      <w:tr w:rsidR="00D65531" w:rsidRPr="00DA144E" w14:paraId="589E1088" w14:textId="77777777" w:rsidTr="008477C5">
        <w:tc>
          <w:tcPr>
            <w:tcW w:w="1019" w:type="pct"/>
            <w:tcBorders>
              <w:top w:val="nil"/>
              <w:bottom w:val="nil"/>
            </w:tcBorders>
            <w:shd w:val="clear" w:color="auto" w:fill="auto"/>
          </w:tcPr>
          <w:p w14:paraId="435B51A7" w14:textId="77777777" w:rsidR="00D65531" w:rsidRPr="00B7244D" w:rsidRDefault="00D65531" w:rsidP="00381AA1">
            <w:pPr>
              <w:pStyle w:val="EYTableText"/>
              <w:rPr>
                <w:lang w:eastAsia="en-AU"/>
              </w:rPr>
            </w:pPr>
          </w:p>
        </w:tc>
        <w:tc>
          <w:tcPr>
            <w:tcW w:w="397" w:type="pct"/>
          </w:tcPr>
          <w:p w14:paraId="215840C5" w14:textId="238D5939" w:rsidR="00D65531" w:rsidRPr="00B7244D" w:rsidRDefault="00D65531" w:rsidP="00381AA1">
            <w:pPr>
              <w:pStyle w:val="EYTableText"/>
              <w:rPr>
                <w:lang w:eastAsia="en-AU"/>
              </w:rPr>
            </w:pPr>
            <w:r>
              <w:rPr>
                <w:rFonts w:eastAsiaTheme="minorEastAsia"/>
              </w:rPr>
              <w:t>11</w:t>
            </w:r>
          </w:p>
        </w:tc>
        <w:tc>
          <w:tcPr>
            <w:tcW w:w="3584" w:type="pct"/>
            <w:shd w:val="clear" w:color="auto" w:fill="auto"/>
          </w:tcPr>
          <w:p w14:paraId="00A4AB9D" w14:textId="7FDB2DC0" w:rsidR="00D65531" w:rsidRDefault="00D65531" w:rsidP="00381AA1">
            <w:pPr>
              <w:pStyle w:val="EYTableText"/>
              <w:rPr>
                <w:rFonts w:ascii="Arial" w:hAnsi="Arial" w:cs="Arial"/>
                <w:sz w:val="36"/>
                <w:szCs w:val="36"/>
              </w:rPr>
            </w:pPr>
            <w:r>
              <w:t xml:space="preserve">Assumptions around the ratio of young people with supervision orders relative to those with </w:t>
            </w:r>
            <w:r w:rsidR="009F7A14">
              <w:t xml:space="preserve">detention orders </w:t>
            </w:r>
            <w:r>
              <w:t>by age 18 are based on the ratio of the two populations over the 2022-23 year.</w:t>
            </w:r>
          </w:p>
          <w:p w14:paraId="51B99BE2" w14:textId="2CE409B5" w:rsidR="00D65531" w:rsidRPr="00B7244D" w:rsidRDefault="00D65531" w:rsidP="00381AA1">
            <w:pPr>
              <w:pStyle w:val="EYTableText"/>
              <w:rPr>
                <w:lang w:eastAsia="en-AU"/>
              </w:rPr>
            </w:pPr>
            <w:r>
              <w:t xml:space="preserve">Assumptions around the average number of youth justice supervision orders and detentions by age 18 are based on an AIHW study of accumulated youth justice orders (birth cohort data was available from Tasmania, ACT and NT). The average number of </w:t>
            </w:r>
            <w:r w:rsidR="00F0247A">
              <w:t xml:space="preserve">community-based and detention </w:t>
            </w:r>
            <w:r>
              <w:t>orders may differ for young people in the Queensland youth justice system.</w:t>
            </w:r>
          </w:p>
        </w:tc>
      </w:tr>
      <w:tr w:rsidR="00D65531" w:rsidRPr="00DA144E" w14:paraId="7C619454" w14:textId="77777777" w:rsidTr="008477C5">
        <w:tc>
          <w:tcPr>
            <w:tcW w:w="1019" w:type="pct"/>
            <w:tcBorders>
              <w:top w:val="nil"/>
            </w:tcBorders>
            <w:shd w:val="clear" w:color="auto" w:fill="auto"/>
          </w:tcPr>
          <w:p w14:paraId="4D2E9FAF" w14:textId="77777777" w:rsidR="00D65531" w:rsidRPr="00B7244D" w:rsidRDefault="00D65531" w:rsidP="00381AA1">
            <w:pPr>
              <w:pStyle w:val="EYTableText"/>
              <w:rPr>
                <w:lang w:eastAsia="en-AU"/>
              </w:rPr>
            </w:pPr>
          </w:p>
        </w:tc>
        <w:tc>
          <w:tcPr>
            <w:tcW w:w="397" w:type="pct"/>
          </w:tcPr>
          <w:p w14:paraId="10B0D225" w14:textId="0071A823" w:rsidR="00D65531" w:rsidRPr="00B7244D" w:rsidRDefault="00D65531" w:rsidP="00381AA1">
            <w:pPr>
              <w:pStyle w:val="EYTableText"/>
              <w:rPr>
                <w:lang w:eastAsia="en-AU"/>
              </w:rPr>
            </w:pPr>
            <w:r>
              <w:rPr>
                <w:rFonts w:eastAsiaTheme="minorEastAsia"/>
              </w:rPr>
              <w:t>12</w:t>
            </w:r>
          </w:p>
        </w:tc>
        <w:tc>
          <w:tcPr>
            <w:tcW w:w="3584" w:type="pct"/>
            <w:shd w:val="clear" w:color="auto" w:fill="auto"/>
          </w:tcPr>
          <w:p w14:paraId="6A7A998D" w14:textId="129EE172" w:rsidR="00D65531" w:rsidRPr="00B7244D" w:rsidRDefault="00D65531" w:rsidP="00381AA1">
            <w:pPr>
              <w:pStyle w:val="EYTableText"/>
              <w:rPr>
                <w:lang w:eastAsia="en-AU"/>
              </w:rPr>
            </w:pPr>
            <w:r>
              <w:t xml:space="preserve">13% of </w:t>
            </w:r>
            <w:r w:rsidR="007C1D9B">
              <w:t>young people</w:t>
            </w:r>
            <w:r>
              <w:t xml:space="preserve"> with a Youth Justice offence will go on to have a subsequent Adult Justice custodial sentence.</w:t>
            </w:r>
          </w:p>
        </w:tc>
      </w:tr>
    </w:tbl>
    <w:p w14:paraId="33B3831D" w14:textId="77777777" w:rsidR="00FB5084" w:rsidRDefault="00FB5084" w:rsidP="00B33878">
      <w:pPr>
        <w:pStyle w:val="EYBodytextwithparaspace"/>
        <w:rPr>
          <w:highlight w:val="yellow"/>
          <w:lang w:eastAsia="en-AU"/>
        </w:rPr>
      </w:pPr>
    </w:p>
    <w:p w14:paraId="75403D52" w14:textId="117454CD" w:rsidR="002222DF" w:rsidRPr="00444BD5" w:rsidRDefault="002222DF" w:rsidP="002222DF">
      <w:pPr>
        <w:pStyle w:val="EYHeading2"/>
      </w:pPr>
      <w:bookmarkStart w:id="14" w:name="_Toc165390911"/>
      <w:r w:rsidRPr="00444BD5">
        <w:t xml:space="preserve">Assumptions relating to </w:t>
      </w:r>
      <w:r w:rsidR="002F3A42">
        <w:t>Youth Justice cost estimation approach</w:t>
      </w:r>
      <w:bookmarkEnd w:id="14"/>
    </w:p>
    <w:p w14:paraId="1F92C4F0" w14:textId="10019CE2" w:rsidR="002F3A42" w:rsidRDefault="002F3A42" w:rsidP="002F3A42">
      <w:pPr>
        <w:pStyle w:val="EYBodytextwithparaspace"/>
        <w:rPr>
          <w:lang w:eastAsia="en-AU"/>
        </w:rPr>
      </w:pPr>
      <w:r>
        <w:rPr>
          <w:lang w:eastAsia="en-AU"/>
        </w:rPr>
        <w:t>Key challenges remain when trying to use the existing research to quantify the impact of student behavioural issues and school disengagement on subsequent Justice system interactions, including students with disabilities. In this situation suspensions are assumed to be a proxy indicator of behavioural and school disengagement issues.</w:t>
      </w:r>
    </w:p>
    <w:p w14:paraId="5C99E0D6" w14:textId="77777777" w:rsidR="002F3A42" w:rsidRDefault="002F3A42" w:rsidP="002F3A42">
      <w:pPr>
        <w:pStyle w:val="EYBodytextwithparaspace"/>
        <w:rPr>
          <w:lang w:eastAsia="en-AU"/>
        </w:rPr>
      </w:pPr>
      <w:r>
        <w:rPr>
          <w:lang w:eastAsia="en-AU"/>
        </w:rPr>
        <w:t>These challenges include:</w:t>
      </w:r>
    </w:p>
    <w:p w14:paraId="16534DAF" w14:textId="18CDD739" w:rsidR="002F3A42" w:rsidRDefault="002F3A42" w:rsidP="002F3A42">
      <w:pPr>
        <w:pStyle w:val="EYBulletedText1"/>
        <w:rPr>
          <w:lang w:eastAsia="en-AU"/>
        </w:rPr>
      </w:pPr>
      <w:r>
        <w:rPr>
          <w:lang w:eastAsia="en-AU"/>
        </w:rPr>
        <w:t xml:space="preserve">Wide variation in the disability cohorts analysed by studies, amplified by different attempts to capture disability severity or a focus on specific disability types. For example, Queensland Education reports a </w:t>
      </w:r>
      <w:r>
        <w:rPr>
          <w:lang w:eastAsia="en-AU"/>
        </w:rPr>
        <w:lastRenderedPageBreak/>
        <w:t>6% and 20% disability prevalence rate when using EAP and NCCD definitions of disability</w:t>
      </w:r>
      <w:r w:rsidR="009663B2">
        <w:rPr>
          <w:lang w:eastAsia="en-AU"/>
        </w:rPr>
        <w:t xml:space="preserve"> respectively</w:t>
      </w:r>
      <w:r>
        <w:rPr>
          <w:lang w:eastAsia="en-AU"/>
        </w:rPr>
        <w:t>. In comparison:</w:t>
      </w:r>
    </w:p>
    <w:p w14:paraId="14D7E12F" w14:textId="77777777" w:rsidR="002F3A42" w:rsidRDefault="002F3A42" w:rsidP="002F3A42">
      <w:pPr>
        <w:pStyle w:val="EYBulletedText2"/>
        <w:rPr>
          <w:lang w:eastAsia="en-AU"/>
        </w:rPr>
      </w:pPr>
      <w:r>
        <w:rPr>
          <w:lang w:eastAsia="en-AU"/>
        </w:rPr>
        <w:t>The NSW NDDA Youth Justice pilot study reported 3.5% of its population with a disability indicator (based on interaction with specific disability support services)</w:t>
      </w:r>
    </w:p>
    <w:p w14:paraId="38E67ACD" w14:textId="3A3B883B" w:rsidR="002F3A42" w:rsidRDefault="002F3A42" w:rsidP="002F3A42">
      <w:pPr>
        <w:pStyle w:val="EYBulletedText2"/>
        <w:rPr>
          <w:lang w:eastAsia="en-AU"/>
        </w:rPr>
      </w:pPr>
      <w:r>
        <w:rPr>
          <w:lang w:eastAsia="en-AU"/>
        </w:rPr>
        <w:t>Queensland Youth Justice census surveys report on the proportion of young people with FASD or suspected disability, and NSW Youth Justice census surveys report on the proportion of young people with suspected cognitive disability – elements which do not fully overlap with the EAP and NCCD definitions.</w:t>
      </w:r>
    </w:p>
    <w:p w14:paraId="7D01E32F" w14:textId="77777777" w:rsidR="002F3A42" w:rsidRDefault="002F3A42" w:rsidP="002F3A42">
      <w:pPr>
        <w:pStyle w:val="EYBulletedText1"/>
        <w:rPr>
          <w:lang w:eastAsia="en-AU"/>
        </w:rPr>
      </w:pPr>
      <w:r>
        <w:rPr>
          <w:lang w:eastAsia="en-AU"/>
        </w:rPr>
        <w:t>Except for the NSW NDDA Justice pilot study, all other studies involve point-in-time analysis. This does not fully support estimates of lifetime involvement with Youth and Adult Justice systems as a considerable proportion of young offenders will cycle through these systems over multiple years.</w:t>
      </w:r>
    </w:p>
    <w:p w14:paraId="4C7584AC" w14:textId="4BB66127" w:rsidR="002F3A42" w:rsidRDefault="002F3A42" w:rsidP="002F3A42">
      <w:pPr>
        <w:pStyle w:val="EYBulletedText1"/>
        <w:rPr>
          <w:lang w:eastAsia="en-AU"/>
        </w:rPr>
      </w:pPr>
      <w:r>
        <w:rPr>
          <w:lang w:eastAsia="en-AU"/>
        </w:rPr>
        <w:t>Differences in Youth Justice systems and populations across state jurisdictions</w:t>
      </w:r>
      <w:r w:rsidR="009B58A2">
        <w:rPr>
          <w:lang w:eastAsia="en-AU"/>
        </w:rPr>
        <w:t xml:space="preserve"> and over time</w:t>
      </w:r>
      <w:r>
        <w:rPr>
          <w:lang w:eastAsia="en-AU"/>
        </w:rPr>
        <w:t>.</w:t>
      </w:r>
      <w:r w:rsidR="009663B2">
        <w:rPr>
          <w:lang w:eastAsia="en-AU"/>
        </w:rPr>
        <w:t xml:space="preserve"> </w:t>
      </w:r>
      <w:r w:rsidR="00BD630E">
        <w:rPr>
          <w:lang w:eastAsia="en-AU"/>
        </w:rPr>
        <w:t xml:space="preserve">These estimates are based on assumptions informed by birth cohort studies from other jurisdictions as well as Queensland indicators and should </w:t>
      </w:r>
      <w:r w:rsidR="00504FA1">
        <w:rPr>
          <w:lang w:eastAsia="en-AU"/>
        </w:rPr>
        <w:t>be treated as indicative</w:t>
      </w:r>
      <w:r w:rsidR="00CE6EC0">
        <w:rPr>
          <w:lang w:eastAsia="en-AU"/>
        </w:rPr>
        <w:t xml:space="preserve"> only</w:t>
      </w:r>
      <w:r w:rsidR="00504FA1">
        <w:rPr>
          <w:lang w:eastAsia="en-AU"/>
        </w:rPr>
        <w:t>.</w:t>
      </w:r>
    </w:p>
    <w:p w14:paraId="536FAB67" w14:textId="77777777" w:rsidR="002F3A42" w:rsidRDefault="002F3A42" w:rsidP="002F3A42">
      <w:pPr>
        <w:pStyle w:val="EYBulletedText1"/>
        <w:rPr>
          <w:lang w:eastAsia="en-AU"/>
        </w:rPr>
      </w:pPr>
      <w:r>
        <w:rPr>
          <w:lang w:eastAsia="en-AU"/>
        </w:rPr>
        <w:t>Differences in the definition of Youth Justice involvement analysed by studies (ranging from all offending to Youth Justice custody/detention only).</w:t>
      </w:r>
    </w:p>
    <w:p w14:paraId="2E95AF5E" w14:textId="77777777" w:rsidR="002F3A42" w:rsidRDefault="002F3A42" w:rsidP="002F3A42">
      <w:pPr>
        <w:pStyle w:val="EYBodytextwithparaspace"/>
        <w:rPr>
          <w:lang w:eastAsia="en-AU"/>
        </w:rPr>
      </w:pPr>
      <w:r>
        <w:rPr>
          <w:lang w:eastAsia="en-AU"/>
        </w:rPr>
        <w:t>Other approach limitations and areas for consideration:</w:t>
      </w:r>
    </w:p>
    <w:p w14:paraId="3F7577C0" w14:textId="4EFD4470" w:rsidR="002F3A42" w:rsidRDefault="002F3A42" w:rsidP="002F3A42">
      <w:pPr>
        <w:pStyle w:val="EYBulletedText1"/>
        <w:rPr>
          <w:lang w:eastAsia="en-AU"/>
        </w:rPr>
      </w:pPr>
      <w:r>
        <w:rPr>
          <w:lang w:eastAsia="en-AU"/>
        </w:rPr>
        <w:t>Youth Justice census surveys from NSW and Victoria over recent years have observed that 60 – 94% of people under Youth Justice supervision, or in detention, have had prior school suspensions</w:t>
      </w:r>
      <w:r w:rsidR="00BE6AA3">
        <w:rPr>
          <w:rStyle w:val="FootnoteReference"/>
          <w:lang w:eastAsia="en-AU"/>
        </w:rPr>
        <w:footnoteReference w:id="5"/>
      </w:r>
      <w:r>
        <w:rPr>
          <w:lang w:eastAsia="en-AU"/>
        </w:rPr>
        <w:t xml:space="preserve">. These observations suggest that in practice suspensions may possibly have a higher correlation with Youth Justice system involvement. </w:t>
      </w:r>
    </w:p>
    <w:p w14:paraId="187FC8FC" w14:textId="77777777" w:rsidR="002F3A42" w:rsidRPr="00BE6AA3" w:rsidRDefault="002F3A42" w:rsidP="002F3A42">
      <w:pPr>
        <w:pStyle w:val="EYBulletedText1"/>
        <w:rPr>
          <w:lang w:eastAsia="en-AU"/>
        </w:rPr>
      </w:pPr>
      <w:r>
        <w:rPr>
          <w:lang w:eastAsia="en-AU"/>
        </w:rPr>
        <w:t xml:space="preserve">The NDDA Justice study highlights that Justice system involvement varies considerably by disability type – for example, young people with psychosocial disabilities are heavily overrepresented in the offending cohort, whereas young people with </w:t>
      </w:r>
      <w:r w:rsidRPr="00BE6AA3">
        <w:rPr>
          <w:lang w:eastAsia="en-AU"/>
        </w:rPr>
        <w:t>physical disability only have rates of offending closer to other young people without disability.</w:t>
      </w:r>
    </w:p>
    <w:p w14:paraId="6DFE7CE8" w14:textId="794E22EA" w:rsidR="002F3A42" w:rsidRPr="00BE6AA3" w:rsidRDefault="002F3A42" w:rsidP="002F3A42">
      <w:pPr>
        <w:pStyle w:val="EYBulletedText1"/>
        <w:rPr>
          <w:lang w:eastAsia="en-AU"/>
        </w:rPr>
      </w:pPr>
      <w:r w:rsidRPr="00BE6AA3">
        <w:rPr>
          <w:lang w:eastAsia="en-AU"/>
        </w:rPr>
        <w:t>Frequency of suspensions is likely also an important factor. Young people with multiple suspensions are likely to have a higher likelihood of Justice system involvement.</w:t>
      </w:r>
      <w:r w:rsidRPr="00BE6AA3">
        <w:rPr>
          <w:lang w:eastAsia="en-AU"/>
        </w:rPr>
        <w:br/>
        <w:t>For example – a NSW Youth Justice census study in 2015 observed that 94% of the young people in detention had suspension history and 78% had had repeat suspensions.</w:t>
      </w:r>
    </w:p>
    <w:p w14:paraId="3ABBB27E" w14:textId="55374E7D" w:rsidR="001B3530" w:rsidRDefault="009B5BC1">
      <w:pPr>
        <w:autoSpaceDE/>
        <w:autoSpaceDN/>
        <w:adjustRightInd/>
      </w:pPr>
      <w:r>
        <w:br w:type="page"/>
      </w:r>
    </w:p>
    <w:p w14:paraId="6C1E1D66" w14:textId="30347C01" w:rsidR="00193957" w:rsidRDefault="00B200D7" w:rsidP="00B200D7">
      <w:pPr>
        <w:pStyle w:val="EYAppendix"/>
      </w:pPr>
      <w:bookmarkStart w:id="15" w:name="_Ref165379469"/>
      <w:bookmarkStart w:id="16" w:name="_Toc165390912"/>
      <w:r>
        <w:lastRenderedPageBreak/>
        <w:t>Cohort size</w:t>
      </w:r>
      <w:bookmarkEnd w:id="15"/>
      <w:bookmarkEnd w:id="16"/>
    </w:p>
    <w:tbl>
      <w:tblPr>
        <w:tblStyle w:val="TableGrid"/>
        <w:tblW w:w="5000" w:type="pct"/>
        <w:tblLayout w:type="fixed"/>
        <w:tblLook w:val="04A0" w:firstRow="1" w:lastRow="0" w:firstColumn="1" w:lastColumn="0" w:noHBand="0" w:noVBand="1"/>
      </w:tblPr>
      <w:tblGrid>
        <w:gridCol w:w="3091"/>
        <w:gridCol w:w="1196"/>
        <w:gridCol w:w="4776"/>
      </w:tblGrid>
      <w:tr w:rsidR="00186115" w:rsidRPr="00193957" w14:paraId="48D2B765" w14:textId="77777777" w:rsidTr="00B200D7">
        <w:trPr>
          <w:tblHeader/>
        </w:trPr>
        <w:tc>
          <w:tcPr>
            <w:tcW w:w="1705" w:type="pct"/>
            <w:shd w:val="clear" w:color="auto" w:fill="A6A6A6" w:themeFill="background1" w:themeFillShade="A6"/>
          </w:tcPr>
          <w:p w14:paraId="5EA13973" w14:textId="77777777" w:rsidR="00533485" w:rsidRPr="00193957" w:rsidRDefault="00533485" w:rsidP="004F6827">
            <w:pPr>
              <w:pStyle w:val="EYTableHeadingWhite"/>
            </w:pPr>
            <w:r w:rsidRPr="00193957">
              <w:t>Description</w:t>
            </w:r>
          </w:p>
        </w:tc>
        <w:tc>
          <w:tcPr>
            <w:tcW w:w="660" w:type="pct"/>
            <w:shd w:val="clear" w:color="auto" w:fill="A6A6A6" w:themeFill="background1" w:themeFillShade="A6"/>
          </w:tcPr>
          <w:p w14:paraId="481CD296" w14:textId="77777777" w:rsidR="00533485" w:rsidRPr="00193957" w:rsidRDefault="00533485" w:rsidP="004F6827">
            <w:pPr>
              <w:pStyle w:val="EYTableHeadingWhite"/>
            </w:pPr>
            <w:r>
              <w:t>Data</w:t>
            </w:r>
          </w:p>
        </w:tc>
        <w:tc>
          <w:tcPr>
            <w:tcW w:w="2635" w:type="pct"/>
            <w:shd w:val="clear" w:color="auto" w:fill="A6A6A6" w:themeFill="background1" w:themeFillShade="A6"/>
          </w:tcPr>
          <w:p w14:paraId="14C79CB0" w14:textId="52C4DB8D" w:rsidR="00533485" w:rsidRPr="00193957" w:rsidRDefault="00533485" w:rsidP="004F6827">
            <w:pPr>
              <w:pStyle w:val="EYTableHeadingWhite"/>
            </w:pPr>
            <w:r>
              <w:t>Source</w:t>
            </w:r>
          </w:p>
        </w:tc>
      </w:tr>
      <w:tr w:rsidR="00186115" w14:paraId="4E570B26" w14:textId="77777777" w:rsidTr="00B200D7">
        <w:tc>
          <w:tcPr>
            <w:tcW w:w="1705" w:type="pct"/>
          </w:tcPr>
          <w:p w14:paraId="56D28504" w14:textId="4FA5167F" w:rsidR="00533485" w:rsidRDefault="00BD03C2" w:rsidP="004F6827">
            <w:pPr>
              <w:pStyle w:val="EYTableText"/>
            </w:pPr>
            <w:r>
              <w:t>Number</w:t>
            </w:r>
            <w:r w:rsidR="00533485">
              <w:t xml:space="preserve"> of students in QLD in 2023</w:t>
            </w:r>
          </w:p>
        </w:tc>
        <w:tc>
          <w:tcPr>
            <w:tcW w:w="660" w:type="pct"/>
          </w:tcPr>
          <w:p w14:paraId="434E42F9" w14:textId="77777777" w:rsidR="00533485" w:rsidRDefault="00533485" w:rsidP="004F6827">
            <w:pPr>
              <w:pStyle w:val="EYTableText"/>
            </w:pPr>
            <w:r>
              <w:t>570,259</w:t>
            </w:r>
          </w:p>
        </w:tc>
        <w:tc>
          <w:tcPr>
            <w:tcW w:w="2635" w:type="pct"/>
          </w:tcPr>
          <w:p w14:paraId="2C6C35C2" w14:textId="1329F321" w:rsidR="00533485" w:rsidRPr="00785492" w:rsidRDefault="00EB71AA" w:rsidP="004F6827">
            <w:pPr>
              <w:pStyle w:val="EYTableText"/>
            </w:pPr>
            <w:r w:rsidRPr="00785492">
              <w:t xml:space="preserve">Department of </w:t>
            </w:r>
            <w:r w:rsidR="00A009D3" w:rsidRPr="00785492">
              <w:t xml:space="preserve">Education. (2023). State School Enrolments. </w:t>
            </w:r>
            <w:r w:rsidR="000F652F" w:rsidRPr="00785492">
              <w:t>https://qed.qld.gov.au/our-publications/reports/statistics/Documents/enrolments-summary.pdf</w:t>
            </w:r>
          </w:p>
        </w:tc>
      </w:tr>
      <w:tr w:rsidR="00186115" w14:paraId="3F85A18C" w14:textId="77777777" w:rsidTr="00B200D7">
        <w:tc>
          <w:tcPr>
            <w:tcW w:w="1705" w:type="pct"/>
          </w:tcPr>
          <w:p w14:paraId="7C538911" w14:textId="06422D66" w:rsidR="00533485" w:rsidRDefault="00BD03C2" w:rsidP="004F6827">
            <w:pPr>
              <w:pStyle w:val="EYTableText"/>
            </w:pPr>
            <w:r>
              <w:t>Proportion</w:t>
            </w:r>
            <w:r w:rsidR="00533485">
              <w:t xml:space="preserve"> of</w:t>
            </w:r>
            <w:r w:rsidR="00132427">
              <w:t xml:space="preserve"> QLD</w:t>
            </w:r>
            <w:r w:rsidR="00533485">
              <w:t xml:space="preserve"> students with</w:t>
            </w:r>
            <w:r w:rsidR="00132427">
              <w:t xml:space="preserve"> a</w:t>
            </w:r>
            <w:r w:rsidR="002E4E2A">
              <w:t xml:space="preserve"> </w:t>
            </w:r>
            <w:r w:rsidR="00AB4220">
              <w:t>NCCD</w:t>
            </w:r>
            <w:r w:rsidR="00132427">
              <w:t xml:space="preserve"> verified</w:t>
            </w:r>
            <w:r w:rsidR="00533485">
              <w:t xml:space="preserve"> disability in 20</w:t>
            </w:r>
            <w:r w:rsidR="00132427">
              <w:t>22</w:t>
            </w:r>
          </w:p>
        </w:tc>
        <w:tc>
          <w:tcPr>
            <w:tcW w:w="660" w:type="pct"/>
          </w:tcPr>
          <w:p w14:paraId="3F1C89CC" w14:textId="7757F0BB" w:rsidR="00533485" w:rsidRDefault="00AB4220" w:rsidP="004F6827">
            <w:pPr>
              <w:pStyle w:val="EYTableText"/>
            </w:pPr>
            <w:r>
              <w:t>20.3</w:t>
            </w:r>
            <w:r w:rsidR="00533485">
              <w:t>%</w:t>
            </w:r>
          </w:p>
        </w:tc>
        <w:tc>
          <w:tcPr>
            <w:tcW w:w="2635" w:type="pct"/>
          </w:tcPr>
          <w:p w14:paraId="49D99ABE" w14:textId="77777777" w:rsidR="00533485" w:rsidRPr="00785492" w:rsidRDefault="00132427" w:rsidP="004F6827">
            <w:pPr>
              <w:pStyle w:val="EYTableText"/>
            </w:pPr>
            <w:r w:rsidRPr="00785492">
              <w:t>Provided</w:t>
            </w:r>
            <w:r w:rsidR="0044037A" w:rsidRPr="00785492">
              <w:t xml:space="preserve"> i</w:t>
            </w:r>
            <w:r w:rsidR="00824B2D" w:rsidRPr="00785492">
              <w:t>n the Queensland student and SDA counts by student categories</w:t>
            </w:r>
            <w:r w:rsidR="00A9720D" w:rsidRPr="00785492">
              <w:t xml:space="preserve"> dataset</w:t>
            </w:r>
          </w:p>
          <w:p w14:paraId="44DF246F" w14:textId="0BEFC0E0" w:rsidR="008313F0" w:rsidRPr="00F36CF4" w:rsidRDefault="008313F0" w:rsidP="004F6827">
            <w:pPr>
              <w:pStyle w:val="EYTableText"/>
              <w:rPr>
                <w:i/>
                <w:iCs/>
              </w:rPr>
            </w:pPr>
            <w:r w:rsidRPr="00785492">
              <w:t>Department of Education. (2023). Queensland student and SDA counts by student categories</w:t>
            </w:r>
          </w:p>
        </w:tc>
      </w:tr>
      <w:tr w:rsidR="00186115" w14:paraId="0519E630" w14:textId="77777777" w:rsidTr="00B200D7">
        <w:tc>
          <w:tcPr>
            <w:tcW w:w="1705" w:type="pct"/>
          </w:tcPr>
          <w:p w14:paraId="04934EEE" w14:textId="3F5C9AA0" w:rsidR="00533485" w:rsidRDefault="00BD03C2" w:rsidP="004F6827">
            <w:pPr>
              <w:pStyle w:val="EYTableText"/>
            </w:pPr>
            <w:r>
              <w:t>Number</w:t>
            </w:r>
            <w:r w:rsidR="00533485">
              <w:t xml:space="preserve"> of </w:t>
            </w:r>
            <w:r w:rsidR="00A460AF">
              <w:t xml:space="preserve">QLD students with a </w:t>
            </w:r>
            <w:r w:rsidR="00AB4220">
              <w:t>NCCD</w:t>
            </w:r>
            <w:r w:rsidR="00A460AF">
              <w:t xml:space="preserve"> verified disability in 2023</w:t>
            </w:r>
          </w:p>
        </w:tc>
        <w:tc>
          <w:tcPr>
            <w:tcW w:w="660" w:type="pct"/>
          </w:tcPr>
          <w:p w14:paraId="34308B77" w14:textId="3AFFE12F" w:rsidR="00533485" w:rsidRDefault="00CB61E4" w:rsidP="004F6827">
            <w:pPr>
              <w:pStyle w:val="EYTableText"/>
            </w:pPr>
            <w:r>
              <w:t>115,975</w:t>
            </w:r>
          </w:p>
        </w:tc>
        <w:tc>
          <w:tcPr>
            <w:tcW w:w="2635" w:type="pct"/>
          </w:tcPr>
          <w:p w14:paraId="45631498" w14:textId="2920A3D8" w:rsidR="00533485" w:rsidRPr="00785492" w:rsidRDefault="00A460AF" w:rsidP="004F6827">
            <w:pPr>
              <w:pStyle w:val="EYTableText"/>
            </w:pPr>
            <w:r w:rsidRPr="00785492">
              <w:t>Derived</w:t>
            </w:r>
            <w:r w:rsidR="000608E5" w:rsidRPr="00785492">
              <w:t xml:space="preserve"> </w:t>
            </w:r>
            <w:r w:rsidR="00F45FAF" w:rsidRPr="00785492">
              <w:t xml:space="preserve">by multiplying the 2022 proportion of students with a </w:t>
            </w:r>
            <w:r w:rsidR="002E4E2A" w:rsidRPr="00785492">
              <w:t>NCCD</w:t>
            </w:r>
            <w:r w:rsidR="00F45FAF" w:rsidRPr="00785492">
              <w:t xml:space="preserve"> verified disability in 2022 with the </w:t>
            </w:r>
            <w:r w:rsidR="008C21B6" w:rsidRPr="00785492">
              <w:t>2023 student population</w:t>
            </w:r>
          </w:p>
        </w:tc>
      </w:tr>
      <w:tr w:rsidR="00186115" w14:paraId="57BBF37D" w14:textId="77777777" w:rsidTr="00B200D7">
        <w:tc>
          <w:tcPr>
            <w:tcW w:w="1705" w:type="pct"/>
          </w:tcPr>
          <w:p w14:paraId="4DA0602E" w14:textId="48EA7FB2" w:rsidR="00533485" w:rsidRDefault="00BD03C2" w:rsidP="004F6827">
            <w:pPr>
              <w:pStyle w:val="EYTableText"/>
            </w:pPr>
            <w:r>
              <w:t>Number</w:t>
            </w:r>
            <w:r w:rsidR="00533485">
              <w:t xml:space="preserve"> of QLD students with</w:t>
            </w:r>
            <w:r w:rsidR="00B628F6">
              <w:t xml:space="preserve"> a </w:t>
            </w:r>
            <w:r w:rsidR="00AB4220">
              <w:t>NCCD</w:t>
            </w:r>
            <w:r w:rsidR="00B628F6">
              <w:t xml:space="preserve"> verified </w:t>
            </w:r>
            <w:r w:rsidR="00533485">
              <w:t>disability who have received a short suspension in 2022</w:t>
            </w:r>
          </w:p>
        </w:tc>
        <w:tc>
          <w:tcPr>
            <w:tcW w:w="660" w:type="pct"/>
          </w:tcPr>
          <w:p w14:paraId="5B781FEF" w14:textId="5304007C" w:rsidR="00533485" w:rsidRDefault="00C828F3" w:rsidP="004F6827">
            <w:pPr>
              <w:pStyle w:val="EYTableText"/>
            </w:pPr>
            <w:r>
              <w:t>16,154</w:t>
            </w:r>
          </w:p>
        </w:tc>
        <w:tc>
          <w:tcPr>
            <w:tcW w:w="2635" w:type="pct"/>
          </w:tcPr>
          <w:p w14:paraId="4191E38A" w14:textId="77777777" w:rsidR="00533485" w:rsidRDefault="00A9720D" w:rsidP="004F6827">
            <w:pPr>
              <w:pStyle w:val="EYTableText"/>
            </w:pPr>
            <w:r w:rsidRPr="00785492">
              <w:t>Provided in the Queensland student and SDA counts by student categories dataset</w:t>
            </w:r>
          </w:p>
          <w:p w14:paraId="2A6DF77B" w14:textId="14D309EA" w:rsidR="00785492" w:rsidRPr="00785492" w:rsidRDefault="00785492" w:rsidP="004F6827">
            <w:pPr>
              <w:pStyle w:val="EYTableText"/>
            </w:pPr>
            <w:r w:rsidRPr="00785492">
              <w:t>Department of Education. (2023). Queensland student and SDA counts by student categories</w:t>
            </w:r>
          </w:p>
        </w:tc>
      </w:tr>
      <w:tr w:rsidR="00186115" w14:paraId="58E16FFC" w14:textId="77777777" w:rsidTr="00B200D7">
        <w:tc>
          <w:tcPr>
            <w:tcW w:w="1705" w:type="pct"/>
          </w:tcPr>
          <w:p w14:paraId="198F9B1C" w14:textId="0F73B34E" w:rsidR="00B57045" w:rsidRDefault="00BD03C2" w:rsidP="004F6827">
            <w:pPr>
              <w:pStyle w:val="EYTableText"/>
            </w:pPr>
            <w:r>
              <w:t>Number</w:t>
            </w:r>
            <w:r w:rsidR="00B57045">
              <w:t xml:space="preserve"> of QLD students with a</w:t>
            </w:r>
            <w:r w:rsidR="002E4E2A">
              <w:t xml:space="preserve"> NCCD</w:t>
            </w:r>
            <w:r w:rsidR="00B57045">
              <w:t xml:space="preserve"> verified disability who have received a short suspension in 2023</w:t>
            </w:r>
          </w:p>
        </w:tc>
        <w:tc>
          <w:tcPr>
            <w:tcW w:w="660" w:type="pct"/>
          </w:tcPr>
          <w:p w14:paraId="353E474E" w14:textId="1C504AC4" w:rsidR="00B57045" w:rsidRDefault="0097137F" w:rsidP="004F6827">
            <w:pPr>
              <w:pStyle w:val="EYTableText"/>
            </w:pPr>
            <w:r>
              <w:t>16,118</w:t>
            </w:r>
          </w:p>
        </w:tc>
        <w:tc>
          <w:tcPr>
            <w:tcW w:w="2635" w:type="pct"/>
          </w:tcPr>
          <w:p w14:paraId="314255C7" w14:textId="22890BB9" w:rsidR="00B57045" w:rsidRPr="00785492" w:rsidRDefault="00B57045" w:rsidP="004F6827">
            <w:pPr>
              <w:pStyle w:val="EYTableText"/>
            </w:pPr>
            <w:r w:rsidRPr="00785492">
              <w:t>Derived</w:t>
            </w:r>
            <w:r w:rsidR="00F87C50" w:rsidRPr="00785492">
              <w:t xml:space="preserve"> </w:t>
            </w:r>
            <w:r w:rsidR="00E80ADE" w:rsidRPr="00785492">
              <w:t xml:space="preserve">by multiplying the proportion of students with a </w:t>
            </w:r>
            <w:r w:rsidR="002E4E2A" w:rsidRPr="00785492">
              <w:t>NCCD</w:t>
            </w:r>
            <w:r w:rsidR="00E80ADE" w:rsidRPr="00785492">
              <w:t xml:space="preserve"> verified disability receiving a short suspension</w:t>
            </w:r>
            <w:r w:rsidR="004D77D6" w:rsidRPr="00785492">
              <w:t xml:space="preserve"> </w:t>
            </w:r>
            <w:r w:rsidR="001F2ED3">
              <w:t xml:space="preserve">in 2022 </w:t>
            </w:r>
            <w:r w:rsidR="004D77D6" w:rsidRPr="00785492">
              <w:t>with the number of students in QLD with a</w:t>
            </w:r>
            <w:r w:rsidR="002E4E2A" w:rsidRPr="00785492">
              <w:t xml:space="preserve"> NCCD</w:t>
            </w:r>
            <w:r w:rsidR="004D77D6" w:rsidRPr="00785492">
              <w:t xml:space="preserve"> verified disability in 2023 (derived above)</w:t>
            </w:r>
            <w:r w:rsidR="00E80ADE" w:rsidRPr="00785492">
              <w:t xml:space="preserve"> </w:t>
            </w:r>
          </w:p>
        </w:tc>
      </w:tr>
      <w:tr w:rsidR="00186115" w14:paraId="14B358DB" w14:textId="77777777" w:rsidTr="00B200D7">
        <w:tc>
          <w:tcPr>
            <w:tcW w:w="1705" w:type="pct"/>
          </w:tcPr>
          <w:p w14:paraId="49951464" w14:textId="26E8A6F6" w:rsidR="00494D3C" w:rsidRDefault="00BD03C2" w:rsidP="004F6827">
            <w:pPr>
              <w:pStyle w:val="EYTableText"/>
            </w:pPr>
            <w:r>
              <w:t>Number</w:t>
            </w:r>
            <w:r w:rsidR="00494D3C">
              <w:t xml:space="preserve"> of QLD students with a</w:t>
            </w:r>
            <w:r w:rsidR="002E4E2A">
              <w:t xml:space="preserve"> NCCD</w:t>
            </w:r>
            <w:r w:rsidR="00494D3C">
              <w:t xml:space="preserve"> verified disability who have received a </w:t>
            </w:r>
            <w:r w:rsidR="00F87C50">
              <w:t xml:space="preserve">long </w:t>
            </w:r>
            <w:r w:rsidR="00494D3C">
              <w:t>suspension in 2022</w:t>
            </w:r>
          </w:p>
        </w:tc>
        <w:tc>
          <w:tcPr>
            <w:tcW w:w="660" w:type="pct"/>
          </w:tcPr>
          <w:p w14:paraId="773C203C" w14:textId="0C0D6F4A" w:rsidR="00494D3C" w:rsidRDefault="000553D1" w:rsidP="004F6827">
            <w:pPr>
              <w:pStyle w:val="EYTableText"/>
            </w:pPr>
            <w:r>
              <w:t>1,194</w:t>
            </w:r>
          </w:p>
        </w:tc>
        <w:tc>
          <w:tcPr>
            <w:tcW w:w="2635" w:type="pct"/>
          </w:tcPr>
          <w:p w14:paraId="56CA4FA0" w14:textId="77777777" w:rsidR="00785492" w:rsidRPr="00785492" w:rsidRDefault="00785492" w:rsidP="004F6827">
            <w:pPr>
              <w:pStyle w:val="EYTableText"/>
            </w:pPr>
            <w:r w:rsidRPr="00785492">
              <w:t>Provided in the Queensland student and SDA counts by student categories dataset</w:t>
            </w:r>
          </w:p>
          <w:p w14:paraId="58AD8AD1" w14:textId="2A5D8F35" w:rsidR="00494D3C" w:rsidRPr="00785492" w:rsidRDefault="00785492" w:rsidP="004F6827">
            <w:pPr>
              <w:pStyle w:val="EYTableText"/>
            </w:pPr>
            <w:r w:rsidRPr="00785492">
              <w:t>Department of Education. (2023). Queensland student and SDA counts by student categories</w:t>
            </w:r>
          </w:p>
        </w:tc>
      </w:tr>
      <w:tr w:rsidR="00186115" w14:paraId="0E99B216" w14:textId="77777777" w:rsidTr="00B200D7">
        <w:tc>
          <w:tcPr>
            <w:tcW w:w="1705" w:type="pct"/>
          </w:tcPr>
          <w:p w14:paraId="6078D907" w14:textId="0D665913" w:rsidR="00092D6B" w:rsidRDefault="00BD03C2" w:rsidP="004F6827">
            <w:pPr>
              <w:pStyle w:val="EYTableText"/>
            </w:pPr>
            <w:r>
              <w:t>Number</w:t>
            </w:r>
            <w:r w:rsidR="00092D6B">
              <w:t xml:space="preserve"> of QLD students with a </w:t>
            </w:r>
            <w:r w:rsidR="002E4E2A">
              <w:t>NCCD</w:t>
            </w:r>
            <w:r w:rsidR="00092D6B">
              <w:t xml:space="preserve"> verified disability who have received a long suspension in 2023</w:t>
            </w:r>
          </w:p>
        </w:tc>
        <w:tc>
          <w:tcPr>
            <w:tcW w:w="660" w:type="pct"/>
          </w:tcPr>
          <w:p w14:paraId="5D40F1D3" w14:textId="18702169" w:rsidR="00092D6B" w:rsidRDefault="00EB154C" w:rsidP="004F6827">
            <w:pPr>
              <w:pStyle w:val="EYTableText"/>
            </w:pPr>
            <w:r>
              <w:t>1,191</w:t>
            </w:r>
          </w:p>
        </w:tc>
        <w:tc>
          <w:tcPr>
            <w:tcW w:w="2635" w:type="pct"/>
          </w:tcPr>
          <w:p w14:paraId="1F8A1022" w14:textId="035156D0" w:rsidR="00092D6B" w:rsidRPr="00785492" w:rsidRDefault="00092D6B" w:rsidP="004F6827">
            <w:pPr>
              <w:pStyle w:val="EYTableText"/>
            </w:pPr>
            <w:r w:rsidRPr="00785492">
              <w:t>Derived by multiplying the proportion of students with a</w:t>
            </w:r>
            <w:r w:rsidR="002E4E2A" w:rsidRPr="00785492">
              <w:t xml:space="preserve"> NCCD</w:t>
            </w:r>
            <w:r w:rsidRPr="00785492">
              <w:t xml:space="preserve"> verified disability receiving a long suspension with the number of students in QLD with a</w:t>
            </w:r>
            <w:r w:rsidR="002E4E2A" w:rsidRPr="00785492">
              <w:t xml:space="preserve"> NCCD </w:t>
            </w:r>
            <w:r w:rsidRPr="00785492">
              <w:t xml:space="preserve">verified disability in 2023 (derived above) </w:t>
            </w:r>
          </w:p>
        </w:tc>
      </w:tr>
      <w:tr w:rsidR="00186115" w14:paraId="3B995405" w14:textId="77777777" w:rsidTr="00B200D7">
        <w:tc>
          <w:tcPr>
            <w:tcW w:w="1705" w:type="pct"/>
          </w:tcPr>
          <w:p w14:paraId="17A66DD3" w14:textId="14EA4716" w:rsidR="00092D6B" w:rsidRDefault="00092D6B" w:rsidP="004F6827">
            <w:pPr>
              <w:pStyle w:val="EYTableText"/>
            </w:pPr>
            <w:r>
              <w:t>Median number of days for a short suspension</w:t>
            </w:r>
          </w:p>
        </w:tc>
        <w:tc>
          <w:tcPr>
            <w:tcW w:w="660" w:type="pct"/>
          </w:tcPr>
          <w:p w14:paraId="54A0FE73" w14:textId="371263D2" w:rsidR="00092D6B" w:rsidRDefault="00092D6B" w:rsidP="004F6827">
            <w:pPr>
              <w:pStyle w:val="EYTableText"/>
            </w:pPr>
            <w:r>
              <w:t>5.5</w:t>
            </w:r>
          </w:p>
        </w:tc>
        <w:tc>
          <w:tcPr>
            <w:tcW w:w="2635" w:type="pct"/>
          </w:tcPr>
          <w:p w14:paraId="3F4E582C" w14:textId="0C6AAF90" w:rsidR="00092D6B" w:rsidRPr="00785492" w:rsidRDefault="00062A3B" w:rsidP="004F6827">
            <w:pPr>
              <w:pStyle w:val="EYTableText"/>
            </w:pPr>
            <w:r w:rsidRPr="00785492">
              <w:t>Derived by taking the median of the range of days given in a short suspension (1-10 days)</w:t>
            </w:r>
          </w:p>
        </w:tc>
      </w:tr>
      <w:tr w:rsidR="00186115" w14:paraId="6845D391" w14:textId="77777777" w:rsidTr="00B200D7">
        <w:tc>
          <w:tcPr>
            <w:tcW w:w="1705" w:type="pct"/>
          </w:tcPr>
          <w:p w14:paraId="04391AF6" w14:textId="3EA5AE12" w:rsidR="00092D6B" w:rsidRDefault="00092D6B" w:rsidP="004F6827">
            <w:pPr>
              <w:pStyle w:val="EYTableText"/>
            </w:pPr>
            <w:r>
              <w:t>Median number of days for a long suspension</w:t>
            </w:r>
          </w:p>
        </w:tc>
        <w:tc>
          <w:tcPr>
            <w:tcW w:w="660" w:type="pct"/>
          </w:tcPr>
          <w:p w14:paraId="3802F9B8" w14:textId="6D3939BD" w:rsidR="00092D6B" w:rsidRDefault="00092D6B" w:rsidP="004F6827">
            <w:pPr>
              <w:pStyle w:val="EYTableText"/>
            </w:pPr>
            <w:r>
              <w:t>1</w:t>
            </w:r>
            <w:r w:rsidR="00EC22E7">
              <w:t>5.5</w:t>
            </w:r>
          </w:p>
        </w:tc>
        <w:tc>
          <w:tcPr>
            <w:tcW w:w="2635" w:type="pct"/>
          </w:tcPr>
          <w:p w14:paraId="6532C894" w14:textId="05872C96" w:rsidR="00092D6B" w:rsidRPr="00785492" w:rsidRDefault="00062A3B" w:rsidP="004F6827">
            <w:pPr>
              <w:pStyle w:val="EYTableText"/>
            </w:pPr>
            <w:r w:rsidRPr="00785492">
              <w:t>Derived by taking the median of the range of days given in a long suspension (11-20 days)</w:t>
            </w:r>
          </w:p>
        </w:tc>
      </w:tr>
      <w:tr w:rsidR="00186115" w14:paraId="08ECCE99" w14:textId="77777777" w:rsidTr="00B200D7">
        <w:tc>
          <w:tcPr>
            <w:tcW w:w="1705" w:type="pct"/>
          </w:tcPr>
          <w:p w14:paraId="59D260E7" w14:textId="11FE76C8" w:rsidR="00092D6B" w:rsidRDefault="00092D6B" w:rsidP="004F6827">
            <w:pPr>
              <w:pStyle w:val="EYTableText"/>
            </w:pPr>
            <w:r>
              <w:t>Average number of days spent in short suspensions for QLD students with a</w:t>
            </w:r>
            <w:r w:rsidR="002E4E2A">
              <w:t xml:space="preserve"> NCCD</w:t>
            </w:r>
            <w:r>
              <w:t xml:space="preserve"> verified disability in 2023</w:t>
            </w:r>
          </w:p>
        </w:tc>
        <w:tc>
          <w:tcPr>
            <w:tcW w:w="660" w:type="pct"/>
          </w:tcPr>
          <w:p w14:paraId="009222F6" w14:textId="1F2D3DF1" w:rsidR="00092D6B" w:rsidRDefault="00373B37" w:rsidP="004F6827">
            <w:pPr>
              <w:pStyle w:val="EYTableText"/>
            </w:pPr>
            <w:r>
              <w:t>88,646</w:t>
            </w:r>
          </w:p>
        </w:tc>
        <w:tc>
          <w:tcPr>
            <w:tcW w:w="2635" w:type="pct"/>
          </w:tcPr>
          <w:p w14:paraId="0153DA5D" w14:textId="1AF123B7" w:rsidR="00092D6B" w:rsidRPr="00785492" w:rsidRDefault="007349E9" w:rsidP="004F6827">
            <w:pPr>
              <w:pStyle w:val="EYTableText"/>
            </w:pPr>
            <w:r w:rsidRPr="00785492">
              <w:t xml:space="preserve">Derived by </w:t>
            </w:r>
            <w:r w:rsidR="00510F58" w:rsidRPr="00785492">
              <w:t xml:space="preserve">multiplying the </w:t>
            </w:r>
            <w:r w:rsidR="00AE464F" w:rsidRPr="00785492">
              <w:t>median days</w:t>
            </w:r>
            <w:r w:rsidR="00510F58" w:rsidRPr="00785492">
              <w:t xml:space="preserve"> in a short suspension with the</w:t>
            </w:r>
            <w:r w:rsidR="00AE464F" w:rsidRPr="00785492">
              <w:t xml:space="preserve"> number of </w:t>
            </w:r>
            <w:r w:rsidR="00510F58" w:rsidRPr="00785492">
              <w:t xml:space="preserve">short </w:t>
            </w:r>
            <w:r w:rsidR="00AE464F" w:rsidRPr="00785492">
              <w:t>suspensions</w:t>
            </w:r>
            <w:r w:rsidR="00510F58" w:rsidRPr="00785492">
              <w:t xml:space="preserve"> in 2023</w:t>
            </w:r>
          </w:p>
        </w:tc>
      </w:tr>
      <w:tr w:rsidR="00186115" w14:paraId="7C51DAD1" w14:textId="77777777" w:rsidTr="00B200D7">
        <w:tc>
          <w:tcPr>
            <w:tcW w:w="1705" w:type="pct"/>
          </w:tcPr>
          <w:p w14:paraId="7FBE7404" w14:textId="643A6CAF" w:rsidR="00092D6B" w:rsidRDefault="00092D6B" w:rsidP="004F6827">
            <w:pPr>
              <w:pStyle w:val="EYTableText"/>
            </w:pPr>
            <w:r>
              <w:t xml:space="preserve">Average number of days spent in long suspensions for QLD students with a </w:t>
            </w:r>
            <w:r w:rsidR="002E4E2A">
              <w:t>NCCD</w:t>
            </w:r>
            <w:r>
              <w:t xml:space="preserve"> verified disability in 2023</w:t>
            </w:r>
          </w:p>
        </w:tc>
        <w:tc>
          <w:tcPr>
            <w:tcW w:w="660" w:type="pct"/>
          </w:tcPr>
          <w:p w14:paraId="69E13DE8" w14:textId="3051632F" w:rsidR="00092D6B" w:rsidRDefault="00373B37" w:rsidP="004F6827">
            <w:pPr>
              <w:pStyle w:val="EYTableText"/>
            </w:pPr>
            <w:r>
              <w:t>18,465</w:t>
            </w:r>
          </w:p>
        </w:tc>
        <w:tc>
          <w:tcPr>
            <w:tcW w:w="2635" w:type="pct"/>
          </w:tcPr>
          <w:p w14:paraId="0110CB3F" w14:textId="37F040DC" w:rsidR="00092D6B" w:rsidRPr="00785492" w:rsidRDefault="00510F58" w:rsidP="004F6827">
            <w:pPr>
              <w:pStyle w:val="EYTableText"/>
            </w:pPr>
            <w:r w:rsidRPr="00785492">
              <w:t>Derived by multiplying the median days in a long suspension with the number of long suspensions in 2023</w:t>
            </w:r>
          </w:p>
        </w:tc>
      </w:tr>
      <w:tr w:rsidR="00186115" w14:paraId="6AFE9BE2" w14:textId="77777777" w:rsidTr="00B200D7">
        <w:tc>
          <w:tcPr>
            <w:tcW w:w="1705" w:type="pct"/>
          </w:tcPr>
          <w:p w14:paraId="6B448733" w14:textId="18515E68" w:rsidR="00092D6B" w:rsidRDefault="00092D6B" w:rsidP="004F6827">
            <w:pPr>
              <w:pStyle w:val="EYTableText"/>
            </w:pPr>
            <w:r>
              <w:t>Number of school days missed in 2023</w:t>
            </w:r>
          </w:p>
        </w:tc>
        <w:tc>
          <w:tcPr>
            <w:tcW w:w="660" w:type="pct"/>
          </w:tcPr>
          <w:p w14:paraId="08CD4977" w14:textId="32D665CE" w:rsidR="00092D6B" w:rsidRDefault="00373B37" w:rsidP="004F6827">
            <w:pPr>
              <w:pStyle w:val="EYTableText"/>
            </w:pPr>
            <w:r>
              <w:t>107,112</w:t>
            </w:r>
          </w:p>
        </w:tc>
        <w:tc>
          <w:tcPr>
            <w:tcW w:w="2635" w:type="pct"/>
          </w:tcPr>
          <w:p w14:paraId="46880397" w14:textId="65FE61EA" w:rsidR="00092D6B" w:rsidRPr="00785492" w:rsidRDefault="00510F58" w:rsidP="004F6827">
            <w:pPr>
              <w:pStyle w:val="EYTableText"/>
            </w:pPr>
            <w:r w:rsidRPr="00785492">
              <w:t xml:space="preserve">Derived by taking the sum of </w:t>
            </w:r>
            <w:r w:rsidR="0072173A" w:rsidRPr="00785492">
              <w:t>short and long suspension days in 2023</w:t>
            </w:r>
          </w:p>
        </w:tc>
      </w:tr>
      <w:tr w:rsidR="00186115" w14:paraId="13EFBA8E" w14:textId="77777777" w:rsidTr="00B200D7">
        <w:tc>
          <w:tcPr>
            <w:tcW w:w="1705" w:type="pct"/>
          </w:tcPr>
          <w:p w14:paraId="44AF19BF" w14:textId="30685FE6" w:rsidR="00092D6B" w:rsidRDefault="00092D6B" w:rsidP="004F6827">
            <w:pPr>
              <w:pStyle w:val="EYTableText"/>
            </w:pPr>
            <w:r>
              <w:t xml:space="preserve">Number of days of school missed per year per student with a </w:t>
            </w:r>
            <w:r w:rsidR="002E4E2A">
              <w:t>NCCD</w:t>
            </w:r>
            <w:r>
              <w:t xml:space="preserve"> verified disability given a suspension in 2023</w:t>
            </w:r>
          </w:p>
        </w:tc>
        <w:tc>
          <w:tcPr>
            <w:tcW w:w="660" w:type="pct"/>
          </w:tcPr>
          <w:p w14:paraId="7D3F7F64" w14:textId="0292C24E" w:rsidR="00092D6B" w:rsidRDefault="00092D6B" w:rsidP="004F6827">
            <w:pPr>
              <w:pStyle w:val="EYTableText"/>
            </w:pPr>
            <w:r>
              <w:t>6</w:t>
            </w:r>
            <w:r w:rsidR="00510F58">
              <w:t>.</w:t>
            </w:r>
            <w:r w:rsidR="00373B37">
              <w:t>2</w:t>
            </w:r>
          </w:p>
        </w:tc>
        <w:tc>
          <w:tcPr>
            <w:tcW w:w="2635" w:type="pct"/>
          </w:tcPr>
          <w:p w14:paraId="08071CFD" w14:textId="19F5292F" w:rsidR="00092D6B" w:rsidRPr="00785492" w:rsidRDefault="00092D6B" w:rsidP="004F6827">
            <w:pPr>
              <w:pStyle w:val="EYTableText"/>
            </w:pPr>
            <w:r w:rsidRPr="00785492">
              <w:t xml:space="preserve">Derived </w:t>
            </w:r>
            <w:r w:rsidR="0072173A" w:rsidRPr="00785492">
              <w:t xml:space="preserve">by dividing the total number of school days missed in 2023 by </w:t>
            </w:r>
            <w:r w:rsidR="00A77AA8" w:rsidRPr="00785492">
              <w:t>the number of students receiving short and long suspensions</w:t>
            </w:r>
          </w:p>
        </w:tc>
      </w:tr>
    </w:tbl>
    <w:p w14:paraId="10F85CDE" w14:textId="77777777" w:rsidR="00091A55" w:rsidRDefault="00091A55" w:rsidP="00091A55"/>
    <w:p w14:paraId="21E9CEFC" w14:textId="1B63FA86" w:rsidR="001F671A" w:rsidRDefault="001F671A">
      <w:pPr>
        <w:autoSpaceDE/>
        <w:autoSpaceDN/>
        <w:adjustRightInd/>
      </w:pPr>
      <w:bookmarkStart w:id="17" w:name="_Ref158126660"/>
      <w:r>
        <w:br w:type="page"/>
      </w:r>
    </w:p>
    <w:p w14:paraId="68D75C22" w14:textId="29956B57" w:rsidR="00BB11DD" w:rsidRDefault="00BB11DD" w:rsidP="00B200D7">
      <w:pPr>
        <w:pStyle w:val="EYAppendix"/>
      </w:pPr>
      <w:bookmarkStart w:id="18" w:name="_Ref165323041"/>
      <w:bookmarkStart w:id="19" w:name="_Toc165390913"/>
      <w:r>
        <w:lastRenderedPageBreak/>
        <w:t>Short</w:t>
      </w:r>
      <w:r w:rsidR="00843D0B">
        <w:t>-</w:t>
      </w:r>
      <w:r w:rsidR="00091A55">
        <w:t xml:space="preserve">term </w:t>
      </w:r>
      <w:r>
        <w:t>impacts</w:t>
      </w:r>
      <w:bookmarkEnd w:id="17"/>
      <w:bookmarkEnd w:id="18"/>
      <w:bookmarkEnd w:id="19"/>
    </w:p>
    <w:tbl>
      <w:tblPr>
        <w:tblStyle w:val="TableGrid"/>
        <w:tblW w:w="9001" w:type="dxa"/>
        <w:tblLayout w:type="fixed"/>
        <w:tblLook w:val="04A0" w:firstRow="1" w:lastRow="0" w:firstColumn="1" w:lastColumn="0" w:noHBand="0" w:noVBand="1"/>
      </w:tblPr>
      <w:tblGrid>
        <w:gridCol w:w="3256"/>
        <w:gridCol w:w="995"/>
        <w:gridCol w:w="4750"/>
      </w:tblGrid>
      <w:tr w:rsidR="00890BA8" w:rsidRPr="00193957" w14:paraId="15ABDED0" w14:textId="3737FBA6" w:rsidTr="00DC2472">
        <w:trPr>
          <w:tblHeader/>
        </w:trPr>
        <w:tc>
          <w:tcPr>
            <w:tcW w:w="3256" w:type="dxa"/>
            <w:shd w:val="clear" w:color="auto" w:fill="A6A6A6" w:themeFill="background1" w:themeFillShade="A6"/>
          </w:tcPr>
          <w:p w14:paraId="394355AA" w14:textId="77777777" w:rsidR="009B7CB7" w:rsidRPr="00193957" w:rsidRDefault="009B7CB7" w:rsidP="00381AA1">
            <w:pPr>
              <w:pStyle w:val="EYTableHeadingWhite"/>
            </w:pPr>
            <w:r w:rsidRPr="00193957">
              <w:t>Description</w:t>
            </w:r>
          </w:p>
        </w:tc>
        <w:tc>
          <w:tcPr>
            <w:tcW w:w="995" w:type="dxa"/>
            <w:shd w:val="clear" w:color="auto" w:fill="A6A6A6" w:themeFill="background1" w:themeFillShade="A6"/>
          </w:tcPr>
          <w:p w14:paraId="3D76D4F9" w14:textId="77777777" w:rsidR="009B7CB7" w:rsidRPr="00193957" w:rsidRDefault="009B7CB7" w:rsidP="00381AA1">
            <w:pPr>
              <w:pStyle w:val="EYTableHeadingWhite"/>
            </w:pPr>
            <w:r>
              <w:t>Data</w:t>
            </w:r>
          </w:p>
        </w:tc>
        <w:tc>
          <w:tcPr>
            <w:tcW w:w="4750" w:type="dxa"/>
            <w:shd w:val="clear" w:color="auto" w:fill="A6A6A6" w:themeFill="background1" w:themeFillShade="A6"/>
          </w:tcPr>
          <w:p w14:paraId="79BDD8F5" w14:textId="7B4442DB" w:rsidR="009B7CB7" w:rsidRDefault="009B7CB7" w:rsidP="00381AA1">
            <w:pPr>
              <w:pStyle w:val="EYTableHeadingWhite"/>
            </w:pPr>
            <w:r>
              <w:t>Source</w:t>
            </w:r>
          </w:p>
        </w:tc>
      </w:tr>
      <w:tr w:rsidR="00CA58A0" w:rsidRPr="00193957" w14:paraId="0F899F6C" w14:textId="77777777" w:rsidTr="001F671A">
        <w:tc>
          <w:tcPr>
            <w:tcW w:w="9001" w:type="dxa"/>
            <w:gridSpan w:val="3"/>
            <w:shd w:val="clear" w:color="auto" w:fill="D0E7FA" w:themeFill="accent3" w:themeFillTint="33"/>
          </w:tcPr>
          <w:p w14:paraId="77F1BA6B" w14:textId="44744DAB" w:rsidR="00CA58A0" w:rsidRPr="001F671A" w:rsidRDefault="00CA58A0" w:rsidP="00381AA1">
            <w:pPr>
              <w:pStyle w:val="EYTableText"/>
              <w:rPr>
                <w:b/>
                <w:bCs/>
              </w:rPr>
            </w:pPr>
            <w:r w:rsidRPr="001F671A">
              <w:rPr>
                <w:b/>
                <w:bCs/>
              </w:rPr>
              <w:t>Youth Justice costs</w:t>
            </w:r>
          </w:p>
        </w:tc>
      </w:tr>
      <w:tr w:rsidR="00BD284C" w:rsidRPr="00193957" w14:paraId="723D4E55" w14:textId="77777777" w:rsidTr="007D656A">
        <w:tc>
          <w:tcPr>
            <w:tcW w:w="3256" w:type="dxa"/>
            <w:shd w:val="clear" w:color="auto" w:fill="auto"/>
          </w:tcPr>
          <w:p w14:paraId="4B0D8C98" w14:textId="2F318E65" w:rsidR="00BD284C" w:rsidRPr="0032477C" w:rsidRDefault="00BD284C" w:rsidP="00381AA1">
            <w:pPr>
              <w:pStyle w:val="EYTableText"/>
            </w:pPr>
            <w:r>
              <w:t>Proportion of young people in NSW NDD</w:t>
            </w:r>
            <w:r w:rsidR="000E5ADC">
              <w:t>A</w:t>
            </w:r>
            <w:r>
              <w:t xml:space="preserve"> Justice pilot study having a disability indicator</w:t>
            </w:r>
          </w:p>
        </w:tc>
        <w:tc>
          <w:tcPr>
            <w:tcW w:w="995" w:type="dxa"/>
            <w:shd w:val="clear" w:color="auto" w:fill="auto"/>
          </w:tcPr>
          <w:p w14:paraId="61D77929" w14:textId="663EBED1" w:rsidR="00BD284C" w:rsidRPr="0032477C" w:rsidRDefault="00BD284C" w:rsidP="00381AA1">
            <w:pPr>
              <w:pStyle w:val="EYTableText"/>
            </w:pPr>
            <w:r>
              <w:t>3.5%</w:t>
            </w:r>
          </w:p>
        </w:tc>
        <w:tc>
          <w:tcPr>
            <w:tcW w:w="4750" w:type="dxa"/>
            <w:vMerge w:val="restart"/>
            <w:shd w:val="clear" w:color="auto" w:fill="auto"/>
          </w:tcPr>
          <w:p w14:paraId="7225B946" w14:textId="77777777" w:rsidR="00BD284C" w:rsidRDefault="00815CD8" w:rsidP="00381AA1">
            <w:pPr>
              <w:pStyle w:val="EYTableText"/>
            </w:pPr>
            <w:r w:rsidRPr="00815CD8">
              <w:t xml:space="preserve">Boiteux, S. &amp; Poynton, S. (2023). Offending by young people with disability: </w:t>
            </w:r>
            <w:proofErr w:type="gramStart"/>
            <w:r w:rsidRPr="00815CD8">
              <w:t>A</w:t>
            </w:r>
            <w:proofErr w:type="gramEnd"/>
            <w:r w:rsidRPr="00815CD8">
              <w:t xml:space="preserve"> NSW linkage study (Crime and Justice Bulletin No. 254). Sydney: NSW Bureau of Crime Statistics and Research. https://www.bocsar.nsw.gov.au/Publications/CJB/2022-Report-Offending-by-young-people-with-disability-CJB254.pdf</w:t>
            </w:r>
          </w:p>
          <w:p w14:paraId="225000D9" w14:textId="484248AB" w:rsidR="00C70259" w:rsidRPr="00F36CF4" w:rsidRDefault="00C70259" w:rsidP="00381AA1">
            <w:pPr>
              <w:pStyle w:val="EYTableText"/>
            </w:pPr>
            <w:r>
              <w:t>Note this includes both remand and sentenced detention.</w:t>
            </w:r>
          </w:p>
        </w:tc>
      </w:tr>
      <w:tr w:rsidR="00BD284C" w:rsidRPr="00193957" w14:paraId="716D2594" w14:textId="77777777" w:rsidTr="007D656A">
        <w:tc>
          <w:tcPr>
            <w:tcW w:w="3256" w:type="dxa"/>
            <w:shd w:val="clear" w:color="auto" w:fill="auto"/>
          </w:tcPr>
          <w:p w14:paraId="56DBD124" w14:textId="37C8916A" w:rsidR="00BD284C" w:rsidRDefault="00BD284C" w:rsidP="00381AA1">
            <w:pPr>
              <w:pStyle w:val="EYTableText"/>
            </w:pPr>
            <w:r>
              <w:t>Probability of young people with disability having Youth Justice detentions by age 18</w:t>
            </w:r>
          </w:p>
        </w:tc>
        <w:tc>
          <w:tcPr>
            <w:tcW w:w="995" w:type="dxa"/>
            <w:shd w:val="clear" w:color="auto" w:fill="auto"/>
          </w:tcPr>
          <w:p w14:paraId="49F33D9A" w14:textId="29DC43BE" w:rsidR="00BD284C" w:rsidRDefault="00BD284C" w:rsidP="00381AA1">
            <w:pPr>
              <w:pStyle w:val="EYTableText"/>
            </w:pPr>
            <w:r>
              <w:t>4%</w:t>
            </w:r>
          </w:p>
        </w:tc>
        <w:tc>
          <w:tcPr>
            <w:tcW w:w="4750" w:type="dxa"/>
            <w:vMerge/>
            <w:shd w:val="clear" w:color="auto" w:fill="auto"/>
          </w:tcPr>
          <w:p w14:paraId="138F0986" w14:textId="77777777" w:rsidR="00BD284C" w:rsidRPr="00F36CF4" w:rsidRDefault="00BD284C" w:rsidP="00381AA1">
            <w:pPr>
              <w:pStyle w:val="EYTableText"/>
            </w:pPr>
          </w:p>
        </w:tc>
      </w:tr>
      <w:tr w:rsidR="00BD284C" w:rsidRPr="00193957" w14:paraId="5FD5E0F6" w14:textId="77777777" w:rsidTr="007D656A">
        <w:tc>
          <w:tcPr>
            <w:tcW w:w="3256" w:type="dxa"/>
            <w:shd w:val="clear" w:color="auto" w:fill="auto"/>
          </w:tcPr>
          <w:p w14:paraId="7AFDBD3E" w14:textId="6360370B" w:rsidR="00BD284C" w:rsidRDefault="00BD284C" w:rsidP="00381AA1">
            <w:pPr>
              <w:pStyle w:val="EYTableText"/>
            </w:pPr>
            <w:r>
              <w:t>Probability of young people without disability having Youth Justice detentions by age 18</w:t>
            </w:r>
          </w:p>
        </w:tc>
        <w:tc>
          <w:tcPr>
            <w:tcW w:w="995" w:type="dxa"/>
            <w:shd w:val="clear" w:color="auto" w:fill="auto"/>
          </w:tcPr>
          <w:p w14:paraId="7351F43F" w14:textId="4912F19A" w:rsidR="00BD284C" w:rsidRDefault="00BD284C" w:rsidP="00381AA1">
            <w:pPr>
              <w:pStyle w:val="EYTableText"/>
            </w:pPr>
            <w:r>
              <w:t>0.7%</w:t>
            </w:r>
          </w:p>
        </w:tc>
        <w:tc>
          <w:tcPr>
            <w:tcW w:w="4750" w:type="dxa"/>
            <w:vMerge/>
            <w:shd w:val="clear" w:color="auto" w:fill="auto"/>
          </w:tcPr>
          <w:p w14:paraId="2A14177D" w14:textId="77777777" w:rsidR="00BD284C" w:rsidRPr="00F36CF4" w:rsidRDefault="00BD284C" w:rsidP="00381AA1">
            <w:pPr>
              <w:pStyle w:val="EYTableText"/>
            </w:pPr>
          </w:p>
        </w:tc>
      </w:tr>
      <w:tr w:rsidR="00D06D07" w:rsidRPr="00193957" w14:paraId="523FCD3D" w14:textId="77777777" w:rsidTr="007D656A">
        <w:tc>
          <w:tcPr>
            <w:tcW w:w="3256" w:type="dxa"/>
            <w:shd w:val="clear" w:color="auto" w:fill="auto"/>
          </w:tcPr>
          <w:p w14:paraId="626FE4FE" w14:textId="0D9F2336" w:rsidR="00D06D07" w:rsidRDefault="00D06D07" w:rsidP="00381AA1">
            <w:pPr>
              <w:pStyle w:val="EYTableText"/>
            </w:pPr>
            <w:r>
              <w:t>Probability of ever being suspended by end of Year 10 given disability</w:t>
            </w:r>
          </w:p>
        </w:tc>
        <w:tc>
          <w:tcPr>
            <w:tcW w:w="995" w:type="dxa"/>
            <w:shd w:val="clear" w:color="auto" w:fill="auto"/>
          </w:tcPr>
          <w:p w14:paraId="79B0C48E" w14:textId="6E128FCE" w:rsidR="00D06D07" w:rsidRDefault="00D06D07" w:rsidP="00381AA1">
            <w:pPr>
              <w:pStyle w:val="EYTableText"/>
            </w:pPr>
            <w:r>
              <w:t>26.1%</w:t>
            </w:r>
          </w:p>
        </w:tc>
        <w:tc>
          <w:tcPr>
            <w:tcW w:w="4750" w:type="dxa"/>
            <w:shd w:val="clear" w:color="auto" w:fill="auto"/>
          </w:tcPr>
          <w:p w14:paraId="0D716517" w14:textId="7BF7D77B" w:rsidR="00D06D07" w:rsidRPr="00F36CF4" w:rsidRDefault="009F23DD" w:rsidP="00381AA1">
            <w:pPr>
              <w:pStyle w:val="EYTableText"/>
            </w:pPr>
            <w:r w:rsidRPr="009F23DD">
              <w:t>National Disability Insurance Agency. (2021). NDIS Participant Outcomes 30 June 2020: Baseline participant outcomes for ages 0-14 report. Sourced from https://data.ndis.gov.au/media/2526/download?attachment</w:t>
            </w:r>
          </w:p>
        </w:tc>
      </w:tr>
      <w:tr w:rsidR="007D656A" w:rsidRPr="00193957" w14:paraId="4C1C9AF3" w14:textId="77777777" w:rsidTr="007D656A">
        <w:tc>
          <w:tcPr>
            <w:tcW w:w="3256" w:type="dxa"/>
            <w:shd w:val="clear" w:color="auto" w:fill="auto"/>
          </w:tcPr>
          <w:p w14:paraId="63093DBA" w14:textId="1B3A515B" w:rsidR="007D656A" w:rsidRDefault="007D656A" w:rsidP="00381AA1">
            <w:pPr>
              <w:pStyle w:val="EYTableText"/>
            </w:pPr>
            <w:r>
              <w:t>Proportion of students with NCCD verified disabilities who have offending history by age 18</w:t>
            </w:r>
          </w:p>
        </w:tc>
        <w:tc>
          <w:tcPr>
            <w:tcW w:w="995" w:type="dxa"/>
            <w:shd w:val="clear" w:color="auto" w:fill="auto"/>
          </w:tcPr>
          <w:p w14:paraId="7491FECE" w14:textId="36400DAC" w:rsidR="007D656A" w:rsidRDefault="007D656A" w:rsidP="00381AA1">
            <w:pPr>
              <w:pStyle w:val="EYTableText"/>
            </w:pPr>
            <w:r>
              <w:t>7%</w:t>
            </w:r>
          </w:p>
        </w:tc>
        <w:tc>
          <w:tcPr>
            <w:tcW w:w="4750" w:type="dxa"/>
            <w:vMerge w:val="restart"/>
            <w:shd w:val="clear" w:color="auto" w:fill="auto"/>
          </w:tcPr>
          <w:p w14:paraId="6409C876" w14:textId="77777777" w:rsidR="007D656A" w:rsidRDefault="007D656A" w:rsidP="00381AA1">
            <w:pPr>
              <w:pStyle w:val="EYTableText"/>
            </w:pPr>
            <w:r>
              <w:t xml:space="preserve">Estimate </w:t>
            </w:r>
            <w:r w:rsidRPr="00F36CF4">
              <w:t xml:space="preserve">derived </w:t>
            </w:r>
            <w:r>
              <w:t xml:space="preserve">with reference to the data points above. </w:t>
            </w:r>
          </w:p>
          <w:p w14:paraId="1FE916CE" w14:textId="57100780" w:rsidR="007D656A" w:rsidRPr="00F36CF4" w:rsidRDefault="007D656A" w:rsidP="00721752">
            <w:pPr>
              <w:pStyle w:val="EYTableText"/>
            </w:pPr>
            <w:r>
              <w:t>Further detail on the estimation approach for this figure is set out in the following section.</w:t>
            </w:r>
          </w:p>
        </w:tc>
      </w:tr>
      <w:tr w:rsidR="007D656A" w:rsidRPr="00193957" w14:paraId="2A71D799" w14:textId="77777777" w:rsidTr="007D656A">
        <w:tc>
          <w:tcPr>
            <w:tcW w:w="3256" w:type="dxa"/>
            <w:shd w:val="clear" w:color="auto" w:fill="auto"/>
          </w:tcPr>
          <w:p w14:paraId="6E582F11" w14:textId="775A83C6" w:rsidR="007D656A" w:rsidRDefault="007D656A" w:rsidP="00381AA1">
            <w:pPr>
              <w:pStyle w:val="EYTableText"/>
            </w:pPr>
            <w:r>
              <w:t xml:space="preserve">Number of students with NCCD verified disabilities ever suspended with YJ </w:t>
            </w:r>
            <w:r w:rsidR="00A61549">
              <w:t xml:space="preserve">detention orders </w:t>
            </w:r>
            <w:r>
              <w:t>by age 18</w:t>
            </w:r>
          </w:p>
        </w:tc>
        <w:tc>
          <w:tcPr>
            <w:tcW w:w="995" w:type="dxa"/>
            <w:shd w:val="clear" w:color="auto" w:fill="auto"/>
          </w:tcPr>
          <w:p w14:paraId="48128394" w14:textId="508E5E14" w:rsidR="007D656A" w:rsidRDefault="007D656A" w:rsidP="00381AA1">
            <w:pPr>
              <w:pStyle w:val="EYTableText"/>
            </w:pPr>
            <w:r>
              <w:t>91</w:t>
            </w:r>
            <w:r w:rsidR="008A7DC4">
              <w:t>-163</w:t>
            </w:r>
          </w:p>
        </w:tc>
        <w:tc>
          <w:tcPr>
            <w:tcW w:w="4750" w:type="dxa"/>
            <w:vMerge/>
            <w:shd w:val="clear" w:color="auto" w:fill="auto"/>
          </w:tcPr>
          <w:p w14:paraId="094EADE5" w14:textId="60402464" w:rsidR="007D656A" w:rsidRPr="00F36CF4" w:rsidRDefault="007D656A" w:rsidP="00381AA1">
            <w:pPr>
              <w:pStyle w:val="EYTableText"/>
            </w:pPr>
          </w:p>
        </w:tc>
      </w:tr>
      <w:tr w:rsidR="003277A6" w:rsidRPr="00193957" w14:paraId="6168D080" w14:textId="77777777" w:rsidTr="007D656A">
        <w:tc>
          <w:tcPr>
            <w:tcW w:w="3256" w:type="dxa"/>
            <w:shd w:val="clear" w:color="auto" w:fill="auto"/>
          </w:tcPr>
          <w:p w14:paraId="1A4C32D4" w14:textId="69EC6B25" w:rsidR="003277A6" w:rsidRDefault="005738FB" w:rsidP="00381AA1">
            <w:pPr>
              <w:pStyle w:val="EYTableText"/>
            </w:pPr>
            <w:r>
              <w:t>Proportion of suspensions that are received by students in Year 9 – 12</w:t>
            </w:r>
          </w:p>
        </w:tc>
        <w:tc>
          <w:tcPr>
            <w:tcW w:w="995" w:type="dxa"/>
            <w:shd w:val="clear" w:color="auto" w:fill="auto"/>
          </w:tcPr>
          <w:p w14:paraId="7846C195" w14:textId="1BFDF996" w:rsidR="003277A6" w:rsidRDefault="00EA6E4C" w:rsidP="00381AA1">
            <w:pPr>
              <w:pStyle w:val="EYTableText"/>
            </w:pPr>
            <w:r>
              <w:t>47.4%</w:t>
            </w:r>
          </w:p>
        </w:tc>
        <w:tc>
          <w:tcPr>
            <w:tcW w:w="4750" w:type="dxa"/>
            <w:shd w:val="clear" w:color="auto" w:fill="auto"/>
          </w:tcPr>
          <w:p w14:paraId="4D7D77C6" w14:textId="21092781" w:rsidR="003277A6" w:rsidRPr="00F36CF4" w:rsidRDefault="004842FB" w:rsidP="00381AA1">
            <w:pPr>
              <w:pStyle w:val="EYTableText"/>
            </w:pPr>
            <w:r w:rsidRPr="004842FB">
              <w:t>South Australia Department of Education. (2023). Suspensions, exclusions and expulsions by year level (2013-22). Accessed 24 April 2024. https://data.sa.gov.au/data/dataset/suspensions-exclusions-and-expulsions-by-year-level</w:t>
            </w:r>
          </w:p>
        </w:tc>
      </w:tr>
      <w:tr w:rsidR="003E2B04" w14:paraId="02D93485" w14:textId="77777777" w:rsidTr="007D656A">
        <w:tc>
          <w:tcPr>
            <w:tcW w:w="3256" w:type="dxa"/>
          </w:tcPr>
          <w:p w14:paraId="3DC55A80" w14:textId="2880879E" w:rsidR="003E2B04" w:rsidRDefault="00C60151" w:rsidP="00381AA1">
            <w:pPr>
              <w:pStyle w:val="EYTableText"/>
            </w:pPr>
            <w:r>
              <w:t xml:space="preserve">Average number of </w:t>
            </w:r>
            <w:r w:rsidR="00ED1CD6">
              <w:t xml:space="preserve">days in </w:t>
            </w:r>
            <w:r>
              <w:t xml:space="preserve">detention </w:t>
            </w:r>
            <w:r w:rsidR="00ED1CD6">
              <w:t xml:space="preserve">per young person with detention(s) </w:t>
            </w:r>
            <w:r w:rsidR="008403C4">
              <w:t>over the 202</w:t>
            </w:r>
            <w:r w:rsidR="007055F6">
              <w:t>2</w:t>
            </w:r>
            <w:r w:rsidR="008403C4">
              <w:t>-2</w:t>
            </w:r>
            <w:r w:rsidR="007055F6">
              <w:t>3</w:t>
            </w:r>
            <w:r w:rsidR="008403C4">
              <w:t xml:space="preserve"> year</w:t>
            </w:r>
          </w:p>
        </w:tc>
        <w:tc>
          <w:tcPr>
            <w:tcW w:w="995" w:type="dxa"/>
          </w:tcPr>
          <w:p w14:paraId="572DA2CF" w14:textId="24292CFC" w:rsidR="003E2B04" w:rsidRDefault="007055F6" w:rsidP="00381AA1">
            <w:pPr>
              <w:pStyle w:val="EYTableText"/>
            </w:pPr>
            <w:r>
              <w:t>103</w:t>
            </w:r>
            <w:r w:rsidR="00BF44E0">
              <w:t xml:space="preserve"> days</w:t>
            </w:r>
          </w:p>
        </w:tc>
        <w:tc>
          <w:tcPr>
            <w:tcW w:w="4750" w:type="dxa"/>
          </w:tcPr>
          <w:p w14:paraId="0CCBD5E4" w14:textId="7877F48A" w:rsidR="003E2B04" w:rsidRPr="00F36CF4" w:rsidRDefault="007055F6" w:rsidP="00381AA1">
            <w:pPr>
              <w:pStyle w:val="EYTableText"/>
            </w:pPr>
            <w:r w:rsidRPr="00F36CF4">
              <w:t>Australian Institute of Health and Wellbeing. (202</w:t>
            </w:r>
            <w:r>
              <w:t>3</w:t>
            </w:r>
            <w:r w:rsidRPr="00F36CF4">
              <w:t>). Youth justice in Australia.  https://www.aihw.gov.au/reports/youth-justice/youth-justice-in-australia-202</w:t>
            </w:r>
            <w:r>
              <w:t>2</w:t>
            </w:r>
            <w:r w:rsidRPr="00F36CF4">
              <w:t>-2</w:t>
            </w:r>
            <w:r>
              <w:t>3</w:t>
            </w:r>
            <w:r w:rsidRPr="00F36CF4">
              <w:t>/data</w:t>
            </w:r>
          </w:p>
        </w:tc>
      </w:tr>
      <w:tr w:rsidR="00050A3B" w14:paraId="5CA4A2DC" w14:textId="77777777" w:rsidTr="007D656A">
        <w:tc>
          <w:tcPr>
            <w:tcW w:w="3256" w:type="dxa"/>
          </w:tcPr>
          <w:p w14:paraId="2A4DE425" w14:textId="571522F2" w:rsidR="00050A3B" w:rsidRDefault="00BF44E0" w:rsidP="00381AA1">
            <w:pPr>
              <w:pStyle w:val="EYTableText"/>
            </w:pPr>
            <w:r>
              <w:t xml:space="preserve">Average number of YJ detentions per young person with NCCD verified </w:t>
            </w:r>
            <w:r w:rsidR="000F1C72">
              <w:t>disabilities ever suspended who has YJ custodial contact by age 18</w:t>
            </w:r>
          </w:p>
        </w:tc>
        <w:tc>
          <w:tcPr>
            <w:tcW w:w="995" w:type="dxa"/>
          </w:tcPr>
          <w:p w14:paraId="09361D90" w14:textId="30EF7D14" w:rsidR="00050A3B" w:rsidRDefault="00F84719" w:rsidP="00381AA1">
            <w:pPr>
              <w:pStyle w:val="EYTableText"/>
            </w:pPr>
            <w:r>
              <w:t>1.</w:t>
            </w:r>
            <w:r w:rsidR="007055F6">
              <w:t>81</w:t>
            </w:r>
          </w:p>
        </w:tc>
        <w:tc>
          <w:tcPr>
            <w:tcW w:w="4750" w:type="dxa"/>
          </w:tcPr>
          <w:p w14:paraId="6653888B" w14:textId="77777777" w:rsidR="00DA4DCD" w:rsidRDefault="006E766B" w:rsidP="00381AA1">
            <w:pPr>
              <w:pStyle w:val="EYTableText"/>
            </w:pPr>
            <w:r>
              <w:t xml:space="preserve">Estimate based on </w:t>
            </w:r>
            <w:r w:rsidR="00DA4DCD">
              <w:t xml:space="preserve">assumed </w:t>
            </w:r>
            <w:r w:rsidR="00694709">
              <w:t xml:space="preserve">(a) </w:t>
            </w:r>
            <w:r>
              <w:t xml:space="preserve">distribution of order </w:t>
            </w:r>
            <w:proofErr w:type="gramStart"/>
            <w:r>
              <w:t xml:space="preserve">counts </w:t>
            </w:r>
            <w:r w:rsidR="00DA4DCD">
              <w:t>up</w:t>
            </w:r>
            <w:proofErr w:type="gramEnd"/>
            <w:r w:rsidR="00DA4DCD">
              <w:t xml:space="preserve"> to age 18, and (b) assumed detention orders as proportion of all Youth Justice orders.</w:t>
            </w:r>
          </w:p>
          <w:p w14:paraId="5C51AA6F" w14:textId="4487363F" w:rsidR="00DA4DCD" w:rsidRDefault="00F84719" w:rsidP="00381AA1">
            <w:pPr>
              <w:pStyle w:val="EYTableText"/>
            </w:pPr>
            <w:r w:rsidRPr="00F84719">
              <w:t>Australian Institute of Health and Welfare (2022). Young people returning to sentenced youth justice supervision, 2021-22</w:t>
            </w:r>
          </w:p>
          <w:p w14:paraId="7C18C0AD" w14:textId="75C23DE3" w:rsidR="00050A3B" w:rsidRPr="00F36CF4" w:rsidRDefault="00DA4DCD" w:rsidP="00381AA1">
            <w:pPr>
              <w:pStyle w:val="EYTableText"/>
            </w:pPr>
            <w:r w:rsidRPr="00F36CF4">
              <w:t>Australian Institute of Health and Wellbeing. (202</w:t>
            </w:r>
            <w:r>
              <w:t>3</w:t>
            </w:r>
            <w:r w:rsidRPr="00F36CF4">
              <w:t>). Youth justice in Australia.  https://www.aihw.gov.au/reports/youth-justice/youth-justice-in-australia-202</w:t>
            </w:r>
            <w:r>
              <w:t>2</w:t>
            </w:r>
            <w:r w:rsidRPr="00F36CF4">
              <w:t>-2</w:t>
            </w:r>
            <w:r>
              <w:t>3</w:t>
            </w:r>
            <w:r w:rsidRPr="00F36CF4">
              <w:t>/data</w:t>
            </w:r>
          </w:p>
        </w:tc>
      </w:tr>
      <w:tr w:rsidR="00B83755" w14:paraId="4577E9F5" w14:textId="77777777" w:rsidTr="007D656A">
        <w:tc>
          <w:tcPr>
            <w:tcW w:w="3256" w:type="dxa"/>
          </w:tcPr>
          <w:p w14:paraId="11A780FC" w14:textId="0DB4C1AF" w:rsidR="00B83755" w:rsidRDefault="00B83755" w:rsidP="00381AA1">
            <w:pPr>
              <w:pStyle w:val="EYTableText"/>
            </w:pPr>
            <w:r>
              <w:t xml:space="preserve">Total days spent in detention </w:t>
            </w:r>
            <w:r w:rsidR="00C70259">
              <w:t>orders</w:t>
            </w:r>
            <w:r>
              <w:t xml:space="preserve"> from students with NCCD verified disabilities ever suspended with Youth Justice custodial contact by age 18</w:t>
            </w:r>
          </w:p>
        </w:tc>
        <w:tc>
          <w:tcPr>
            <w:tcW w:w="995" w:type="dxa"/>
          </w:tcPr>
          <w:p w14:paraId="620BEF3A" w14:textId="19787DDB" w:rsidR="00B83755" w:rsidRDefault="00B83755" w:rsidP="00381AA1">
            <w:pPr>
              <w:pStyle w:val="EYTableText"/>
            </w:pPr>
            <w:r>
              <w:t>1</w:t>
            </w:r>
            <w:r w:rsidR="000833B2">
              <w:t>6,990</w:t>
            </w:r>
            <w:r w:rsidR="00276B25">
              <w:t xml:space="preserve"> – </w:t>
            </w:r>
            <w:r w:rsidR="00E37303">
              <w:t>30,463</w:t>
            </w:r>
          </w:p>
        </w:tc>
        <w:tc>
          <w:tcPr>
            <w:tcW w:w="4750" w:type="dxa"/>
          </w:tcPr>
          <w:p w14:paraId="7EE5804C" w14:textId="3AD3E6CD" w:rsidR="00B83755" w:rsidRPr="00F36CF4" w:rsidRDefault="00B83755" w:rsidP="00381AA1">
            <w:pPr>
              <w:pStyle w:val="EYTableText"/>
            </w:pPr>
            <w:r w:rsidRPr="00F36CF4">
              <w:t>Calculation derived by multiplying total number of students with detentions by age 18</w:t>
            </w:r>
            <w:r w:rsidR="00C536CE">
              <w:t xml:space="preserve"> (91-</w:t>
            </w:r>
            <w:r w:rsidR="00276B25">
              <w:t>1</w:t>
            </w:r>
            <w:r w:rsidR="00C536CE">
              <w:t>63)</w:t>
            </w:r>
            <w:r w:rsidRPr="00F36CF4">
              <w:t>, their expected number of detentions</w:t>
            </w:r>
            <w:r w:rsidR="00276B25">
              <w:t xml:space="preserve"> </w:t>
            </w:r>
            <w:r w:rsidR="004A1A48">
              <w:t>by age 18 (1.</w:t>
            </w:r>
            <w:r w:rsidR="00912183">
              <w:t>81</w:t>
            </w:r>
            <w:r w:rsidR="004A1A48">
              <w:t>)</w:t>
            </w:r>
            <w:r w:rsidRPr="00F36CF4">
              <w:t>, and the average duration of detention</w:t>
            </w:r>
            <w:r w:rsidR="004A1A48">
              <w:t xml:space="preserve"> (</w:t>
            </w:r>
            <w:r w:rsidR="00912183">
              <w:t>103</w:t>
            </w:r>
            <w:r w:rsidR="004A1A48">
              <w:t xml:space="preserve"> days).</w:t>
            </w:r>
          </w:p>
        </w:tc>
      </w:tr>
      <w:tr w:rsidR="00931C8D" w14:paraId="6B8E0CF3" w14:textId="77777777" w:rsidTr="007D656A">
        <w:tc>
          <w:tcPr>
            <w:tcW w:w="3256" w:type="dxa"/>
          </w:tcPr>
          <w:p w14:paraId="08D9E411" w14:textId="7C5C49AF" w:rsidR="00931C8D" w:rsidRDefault="00931C8D" w:rsidP="00381AA1">
            <w:pPr>
              <w:pStyle w:val="EYTableText"/>
            </w:pPr>
            <w:r>
              <w:t>Cost per young person subject to detention</w:t>
            </w:r>
            <w:r w:rsidR="004127E0">
              <w:t xml:space="preserve"> orders</w:t>
            </w:r>
            <w:r>
              <w:t>, per day, 202</w:t>
            </w:r>
            <w:r w:rsidR="00810498">
              <w:t>1 – inflated to 2023 levels</w:t>
            </w:r>
            <w:r>
              <w:t xml:space="preserve"> – Q</w:t>
            </w:r>
            <w:r w:rsidR="008F463C">
              <w:t>ueensland</w:t>
            </w:r>
          </w:p>
        </w:tc>
        <w:tc>
          <w:tcPr>
            <w:tcW w:w="995" w:type="dxa"/>
          </w:tcPr>
          <w:p w14:paraId="2A0F1B39" w14:textId="5E6D2985" w:rsidR="00931C8D" w:rsidRDefault="00931C8D" w:rsidP="00381AA1">
            <w:pPr>
              <w:pStyle w:val="EYTableText"/>
            </w:pPr>
            <w:r>
              <w:t>$2,054</w:t>
            </w:r>
          </w:p>
        </w:tc>
        <w:tc>
          <w:tcPr>
            <w:tcW w:w="4750" w:type="dxa"/>
          </w:tcPr>
          <w:p w14:paraId="20941248" w14:textId="09CBE374" w:rsidR="00931C8D" w:rsidRPr="00F36CF4" w:rsidRDefault="00773657" w:rsidP="00381AA1">
            <w:pPr>
              <w:pStyle w:val="EYTableText"/>
            </w:pPr>
            <w:r w:rsidRPr="00F36CF4">
              <w:t>Productivity Commission (2023</w:t>
            </w:r>
            <w:r w:rsidR="004A1A48">
              <w:t>)</w:t>
            </w:r>
            <w:r w:rsidRPr="00F36CF4">
              <w:t xml:space="preserve">. Report on government services. </w:t>
            </w:r>
            <w:r w:rsidR="00D52061" w:rsidRPr="00F36CF4">
              <w:t>https://www.pc.gov.au/ongoing/report-on-government-services/2023/community-services/youth-justice</w:t>
            </w:r>
          </w:p>
        </w:tc>
      </w:tr>
      <w:tr w:rsidR="00FD10DB" w14:paraId="23F7F966" w14:textId="77777777" w:rsidTr="007D656A">
        <w:tc>
          <w:tcPr>
            <w:tcW w:w="3256" w:type="dxa"/>
          </w:tcPr>
          <w:p w14:paraId="12897965" w14:textId="60CD05B7" w:rsidR="00FD10DB" w:rsidRDefault="00422B2A" w:rsidP="00381AA1">
            <w:pPr>
              <w:pStyle w:val="EYTableText"/>
            </w:pPr>
            <w:r>
              <w:lastRenderedPageBreak/>
              <w:t>Total estimated Youth Justice detention cost</w:t>
            </w:r>
            <w:r w:rsidR="00A2676D">
              <w:t>s</w:t>
            </w:r>
            <w:r>
              <w:t xml:space="preserve"> </w:t>
            </w:r>
            <w:r w:rsidR="00C840F3">
              <w:t>up to age 18</w:t>
            </w:r>
            <w:r w:rsidR="00A04D18">
              <w:t xml:space="preserve">, for students </w:t>
            </w:r>
            <w:r w:rsidR="006C2FD3">
              <w:t xml:space="preserve">with NCCD disability </w:t>
            </w:r>
            <w:r w:rsidR="00A04D18">
              <w:t>suspended in the Youth Justice age range (Years 9-12)</w:t>
            </w:r>
          </w:p>
        </w:tc>
        <w:tc>
          <w:tcPr>
            <w:tcW w:w="995" w:type="dxa"/>
          </w:tcPr>
          <w:p w14:paraId="3F02C10D" w14:textId="5ADBAA4A" w:rsidR="00FD10DB" w:rsidRDefault="00422B2A" w:rsidP="00381AA1">
            <w:pPr>
              <w:pStyle w:val="EYTableText"/>
            </w:pPr>
            <w:r>
              <w:t>$1</w:t>
            </w:r>
            <w:r w:rsidR="00B216FF">
              <w:t>6</w:t>
            </w:r>
            <w:r>
              <w:t>.</w:t>
            </w:r>
            <w:r w:rsidR="00B216FF">
              <w:t>5</w:t>
            </w:r>
            <w:r w:rsidR="00C840F3">
              <w:t xml:space="preserve"> – </w:t>
            </w:r>
            <w:r w:rsidR="00B216FF">
              <w:t>2</w:t>
            </w:r>
            <w:r w:rsidR="00C840F3">
              <w:t>9.</w:t>
            </w:r>
            <w:r w:rsidR="00B216FF">
              <w:t>7</w:t>
            </w:r>
            <w:r>
              <w:t>m</w:t>
            </w:r>
          </w:p>
        </w:tc>
        <w:tc>
          <w:tcPr>
            <w:tcW w:w="4750" w:type="dxa"/>
          </w:tcPr>
          <w:p w14:paraId="67B4F3C0" w14:textId="37EC427E" w:rsidR="00FD10DB" w:rsidRPr="00F36CF4" w:rsidRDefault="00422B2A" w:rsidP="00381AA1">
            <w:pPr>
              <w:pStyle w:val="EYTableText"/>
            </w:pPr>
            <w:r w:rsidRPr="00F36CF4">
              <w:t xml:space="preserve">Calculated by multiplying the total days spent in detention </w:t>
            </w:r>
            <w:r w:rsidR="008F5CE6">
              <w:t xml:space="preserve">for the NCCD disability cohort with suspensions </w:t>
            </w:r>
            <w:r w:rsidRPr="00F36CF4">
              <w:t xml:space="preserve">with </w:t>
            </w:r>
            <w:r w:rsidR="008F5CE6">
              <w:t xml:space="preserve">(a) </w:t>
            </w:r>
            <w:r w:rsidRPr="00F36CF4">
              <w:t>the cost per young person</w:t>
            </w:r>
            <w:r w:rsidR="00A6224E" w:rsidRPr="00F36CF4">
              <w:t xml:space="preserve"> and </w:t>
            </w:r>
            <w:r w:rsidR="008F5CE6">
              <w:t xml:space="preserve">(b) </w:t>
            </w:r>
            <w:r w:rsidR="00A6224E" w:rsidRPr="00F36CF4">
              <w:t xml:space="preserve">the proportion of suspensions received by </w:t>
            </w:r>
            <w:r w:rsidR="006C2FD3">
              <w:t xml:space="preserve">NCCD disability </w:t>
            </w:r>
            <w:r w:rsidR="00A6224E" w:rsidRPr="00F36CF4">
              <w:t xml:space="preserve">students in Year 9 </w:t>
            </w:r>
            <w:r w:rsidR="004A1A48">
              <w:t>–</w:t>
            </w:r>
            <w:r w:rsidR="00A6224E" w:rsidRPr="00F36CF4">
              <w:t xml:space="preserve"> 12</w:t>
            </w:r>
            <w:r w:rsidR="00946DF4">
              <w:t xml:space="preserve"> </w:t>
            </w:r>
            <w:proofErr w:type="gramStart"/>
            <w:r w:rsidR="00946DF4">
              <w:t>in a given year</w:t>
            </w:r>
            <w:proofErr w:type="gramEnd"/>
            <w:r w:rsidR="00946DF4">
              <w:t xml:space="preserve"> (47.4%).</w:t>
            </w:r>
          </w:p>
        </w:tc>
      </w:tr>
      <w:tr w:rsidR="00A2676D" w14:paraId="213977F9" w14:textId="77777777" w:rsidTr="007D656A">
        <w:tc>
          <w:tcPr>
            <w:tcW w:w="3256" w:type="dxa"/>
          </w:tcPr>
          <w:p w14:paraId="5556B9D5" w14:textId="64F66483" w:rsidR="00A2676D" w:rsidRDefault="00A2676D" w:rsidP="00381AA1">
            <w:pPr>
              <w:pStyle w:val="EYTableText"/>
            </w:pPr>
            <w:r>
              <w:t xml:space="preserve">Total estimated Youth Justice detention costs </w:t>
            </w:r>
            <w:proofErr w:type="gramStart"/>
            <w:r>
              <w:t>in a given year</w:t>
            </w:r>
            <w:proofErr w:type="gramEnd"/>
            <w:r w:rsidR="001F300D">
              <w:t>, for students suspended in the Youth Justice age range (Years 9-12)</w:t>
            </w:r>
          </w:p>
        </w:tc>
        <w:tc>
          <w:tcPr>
            <w:tcW w:w="995" w:type="dxa"/>
          </w:tcPr>
          <w:p w14:paraId="7B2405D4" w14:textId="1ECCA71F" w:rsidR="00A2676D" w:rsidRDefault="00A2676D" w:rsidP="00381AA1">
            <w:pPr>
              <w:pStyle w:val="EYTableText"/>
            </w:pPr>
            <w:r>
              <w:t>$</w:t>
            </w:r>
            <w:r w:rsidR="00B216FF">
              <w:t>4.1</w:t>
            </w:r>
            <w:r w:rsidR="00A04D18">
              <w:t xml:space="preserve"> – </w:t>
            </w:r>
            <w:r w:rsidR="00B216FF">
              <w:t>7</w:t>
            </w:r>
            <w:r w:rsidR="00A04D18">
              <w:t>.</w:t>
            </w:r>
            <w:r w:rsidR="00B216FF">
              <w:t>4</w:t>
            </w:r>
            <w:r w:rsidR="00A04D18">
              <w:t>m</w:t>
            </w:r>
          </w:p>
        </w:tc>
        <w:tc>
          <w:tcPr>
            <w:tcW w:w="4750" w:type="dxa"/>
          </w:tcPr>
          <w:p w14:paraId="300093F9" w14:textId="4B2C79B8" w:rsidR="00A2676D" w:rsidRPr="00F36CF4" w:rsidRDefault="00A04D18" w:rsidP="00381AA1">
            <w:pPr>
              <w:pStyle w:val="EYTableText"/>
            </w:pPr>
            <w:r>
              <w:t xml:space="preserve">Calculated by dividing the total </w:t>
            </w:r>
            <w:r w:rsidR="001F300D">
              <w:t xml:space="preserve">estimate for ages up to 18 by the </w:t>
            </w:r>
            <w:r w:rsidR="00D51BF0">
              <w:t xml:space="preserve">approximate </w:t>
            </w:r>
            <w:r w:rsidR="001F300D">
              <w:t>number of age years in the Youth Justice age range (</w:t>
            </w:r>
            <w:r w:rsidR="00D51BF0">
              <w:t>4 age years 14-17</w:t>
            </w:r>
            <w:r w:rsidR="00E3016F">
              <w:t xml:space="preserve"> - these</w:t>
            </w:r>
            <w:r w:rsidR="00D51BF0">
              <w:t xml:space="preserve"> </w:t>
            </w:r>
            <w:r w:rsidR="00E3016F">
              <w:t xml:space="preserve">are </w:t>
            </w:r>
            <w:r w:rsidR="00F41376">
              <w:t xml:space="preserve">the ages of </w:t>
            </w:r>
            <w:proofErr w:type="gramStart"/>
            <w:r w:rsidR="00F41376">
              <w:t>the majority of</w:t>
            </w:r>
            <w:proofErr w:type="gramEnd"/>
            <w:r w:rsidR="00F41376">
              <w:t xml:space="preserve"> young people involved in </w:t>
            </w:r>
            <w:r w:rsidR="00D51BF0">
              <w:t xml:space="preserve">Youth Justice </w:t>
            </w:r>
            <w:r w:rsidR="00F41376">
              <w:t>orders).</w:t>
            </w:r>
          </w:p>
        </w:tc>
      </w:tr>
      <w:tr w:rsidR="00A6224E" w14:paraId="660A146E" w14:textId="77777777" w:rsidTr="007D656A">
        <w:tc>
          <w:tcPr>
            <w:tcW w:w="3256" w:type="dxa"/>
          </w:tcPr>
          <w:p w14:paraId="561CAF18" w14:textId="5F068B8B" w:rsidR="00A6224E" w:rsidRDefault="00A6224E" w:rsidP="00381AA1">
            <w:pPr>
              <w:pStyle w:val="EYTableText"/>
            </w:pPr>
            <w:r>
              <w:t>Ratio of young people with disability and suspension history who have Youth Justice order contact by age 18 (relative to young people with disability, suspensions and custodial contact by age 18)</w:t>
            </w:r>
          </w:p>
        </w:tc>
        <w:tc>
          <w:tcPr>
            <w:tcW w:w="995" w:type="dxa"/>
          </w:tcPr>
          <w:p w14:paraId="25760350" w14:textId="41A7E625" w:rsidR="00A6224E" w:rsidRDefault="00A6224E" w:rsidP="00381AA1">
            <w:pPr>
              <w:pStyle w:val="EYTableText"/>
            </w:pPr>
            <w:r>
              <w:t>1.</w:t>
            </w:r>
            <w:r w:rsidR="00E65221">
              <w:t>82</w:t>
            </w:r>
          </w:p>
        </w:tc>
        <w:tc>
          <w:tcPr>
            <w:tcW w:w="4750" w:type="dxa"/>
          </w:tcPr>
          <w:p w14:paraId="704DC520" w14:textId="77777777" w:rsidR="00A6224E" w:rsidRDefault="00A6224E" w:rsidP="00381AA1">
            <w:pPr>
              <w:pStyle w:val="EYTableText"/>
            </w:pPr>
            <w:r w:rsidRPr="00F36CF4">
              <w:t xml:space="preserve">Calculated by taking </w:t>
            </w:r>
            <w:r w:rsidR="00EA36B9" w:rsidRPr="00F36CF4">
              <w:t xml:space="preserve">the number of </w:t>
            </w:r>
            <w:r w:rsidR="00946DF4">
              <w:t xml:space="preserve">Queensland </w:t>
            </w:r>
            <w:r w:rsidR="00EA36B9" w:rsidRPr="00F36CF4">
              <w:t xml:space="preserve">young people under supervision during the year in 2020-21 by the number of young people aged 10-17 in detention during the year </w:t>
            </w:r>
          </w:p>
          <w:p w14:paraId="3B69D480" w14:textId="37910670" w:rsidR="000C49E5" w:rsidRPr="00F36CF4" w:rsidRDefault="000C49E5" w:rsidP="00381AA1">
            <w:pPr>
              <w:pStyle w:val="EYTableText"/>
            </w:pPr>
            <w:r w:rsidRPr="00F36CF4">
              <w:t xml:space="preserve">Australian Institute of Health and Welfare. (2022). </w:t>
            </w:r>
            <w:hyperlink r:id="rId22" w:history="1">
              <w:r w:rsidRPr="00F36CF4">
                <w:t>Youth justice in Australia 2021-22, Data - Australian Institute of Health and Welfare (aihw.gov.au)</w:t>
              </w:r>
            </w:hyperlink>
          </w:p>
        </w:tc>
      </w:tr>
      <w:tr w:rsidR="00202296" w14:paraId="4BDAEB76" w14:textId="77777777" w:rsidTr="007D656A">
        <w:tc>
          <w:tcPr>
            <w:tcW w:w="3256" w:type="dxa"/>
          </w:tcPr>
          <w:p w14:paraId="0281EFE4" w14:textId="7690531D" w:rsidR="00202296" w:rsidRDefault="003704DE" w:rsidP="00202296">
            <w:pPr>
              <w:pStyle w:val="EYTableText"/>
            </w:pPr>
            <w:r>
              <w:t>Average number of YJ community-based supervision orders per young person with NCCD verified disabilities ever suspended who has YJ supervision order contact by age 18</w:t>
            </w:r>
          </w:p>
        </w:tc>
        <w:tc>
          <w:tcPr>
            <w:tcW w:w="995" w:type="dxa"/>
          </w:tcPr>
          <w:p w14:paraId="4DDCB1C1" w14:textId="5AA6F142" w:rsidR="00202296" w:rsidRDefault="00202296" w:rsidP="00202296">
            <w:pPr>
              <w:pStyle w:val="EYTableText"/>
            </w:pPr>
            <w:r>
              <w:t>1.24</w:t>
            </w:r>
          </w:p>
        </w:tc>
        <w:tc>
          <w:tcPr>
            <w:tcW w:w="4750" w:type="dxa"/>
          </w:tcPr>
          <w:p w14:paraId="436D06E0" w14:textId="72876EA6" w:rsidR="00202296" w:rsidRDefault="00202296" w:rsidP="00202296">
            <w:pPr>
              <w:pStyle w:val="EYTableText"/>
            </w:pPr>
            <w:r>
              <w:t xml:space="preserve">Estimate based on assumed (a) distribution of order </w:t>
            </w:r>
            <w:proofErr w:type="gramStart"/>
            <w:r>
              <w:t>counts up</w:t>
            </w:r>
            <w:proofErr w:type="gramEnd"/>
            <w:r>
              <w:t xml:space="preserve"> to age 18, and (b) assumed </w:t>
            </w:r>
            <w:r w:rsidR="003704DE">
              <w:t>community-based supervision</w:t>
            </w:r>
            <w:r>
              <w:t xml:space="preserve"> orders as proportion of all Youth Justice orders.</w:t>
            </w:r>
            <w:r w:rsidR="00E656C4">
              <w:t xml:space="preserve"> </w:t>
            </w:r>
          </w:p>
          <w:p w14:paraId="0D1C1F8A" w14:textId="29156D03" w:rsidR="00E656C4" w:rsidRDefault="00E656C4" w:rsidP="00202296">
            <w:pPr>
              <w:pStyle w:val="EYTableText"/>
            </w:pPr>
            <w:r>
              <w:t>Note this will include some young people who also have detention orders.</w:t>
            </w:r>
          </w:p>
          <w:p w14:paraId="48ADA700" w14:textId="77777777" w:rsidR="00202296" w:rsidRDefault="00202296" w:rsidP="00202296">
            <w:pPr>
              <w:pStyle w:val="EYTableText"/>
            </w:pPr>
            <w:r w:rsidRPr="00F84719">
              <w:t>Australian Institute of Health and Welfare (2022). Young people returning to sentenced youth justice supervision, 2021-22</w:t>
            </w:r>
          </w:p>
          <w:p w14:paraId="269C0E3C" w14:textId="48EC8CDB" w:rsidR="00202296" w:rsidRPr="00F36CF4" w:rsidRDefault="00202296" w:rsidP="00202296">
            <w:pPr>
              <w:pStyle w:val="EYTableText"/>
            </w:pPr>
            <w:r w:rsidRPr="00F36CF4">
              <w:t>Australian Institute of Health and Wellbeing. (202</w:t>
            </w:r>
            <w:r>
              <w:t>3</w:t>
            </w:r>
            <w:r w:rsidRPr="00F36CF4">
              <w:t>). Youth justice in Australia.  https://www.aihw.gov.au/reports/youth-justice/youth-justice-in-australia-202</w:t>
            </w:r>
            <w:r>
              <w:t>2</w:t>
            </w:r>
            <w:r w:rsidRPr="00F36CF4">
              <w:t>-2</w:t>
            </w:r>
            <w:r>
              <w:t>3</w:t>
            </w:r>
            <w:r w:rsidRPr="00F36CF4">
              <w:t>/data</w:t>
            </w:r>
          </w:p>
        </w:tc>
      </w:tr>
      <w:tr w:rsidR="00E37533" w14:paraId="634F9415" w14:textId="77777777" w:rsidTr="007D656A">
        <w:tc>
          <w:tcPr>
            <w:tcW w:w="3256" w:type="dxa"/>
          </w:tcPr>
          <w:p w14:paraId="4DB678E3" w14:textId="53BBB607" w:rsidR="00E37533" w:rsidRDefault="008F2192" w:rsidP="00381AA1">
            <w:pPr>
              <w:pStyle w:val="EYTableText"/>
            </w:pPr>
            <w:r>
              <w:t>Average supervision period length per year</w:t>
            </w:r>
          </w:p>
        </w:tc>
        <w:tc>
          <w:tcPr>
            <w:tcW w:w="995" w:type="dxa"/>
          </w:tcPr>
          <w:p w14:paraId="6C4874F4" w14:textId="25228A86" w:rsidR="00E37533" w:rsidRDefault="008F2192" w:rsidP="00381AA1">
            <w:pPr>
              <w:pStyle w:val="EYTableText"/>
            </w:pPr>
            <w:r>
              <w:t>227 days</w:t>
            </w:r>
          </w:p>
        </w:tc>
        <w:tc>
          <w:tcPr>
            <w:tcW w:w="4750" w:type="dxa"/>
          </w:tcPr>
          <w:p w14:paraId="32BBA256" w14:textId="46C7EA43" w:rsidR="00E37533" w:rsidRPr="00F36CF4" w:rsidRDefault="00904AD8" w:rsidP="00381AA1">
            <w:pPr>
              <w:pStyle w:val="EYTableText"/>
            </w:pPr>
            <w:r w:rsidRPr="00F36CF4">
              <w:t>Australian Institute of Health and Wellbeing. (202</w:t>
            </w:r>
            <w:r w:rsidR="00020746">
              <w:t>3</w:t>
            </w:r>
            <w:r w:rsidRPr="00F36CF4">
              <w:t>). Youth justice in Australia.  https://www.aihw.gov.au/reports/youth-justice/youth-justice-in-australia-202</w:t>
            </w:r>
            <w:r w:rsidR="00020746">
              <w:t>2</w:t>
            </w:r>
            <w:r w:rsidRPr="00F36CF4">
              <w:t>-2</w:t>
            </w:r>
            <w:r w:rsidR="00020746">
              <w:t>3</w:t>
            </w:r>
            <w:r w:rsidRPr="00F36CF4">
              <w:t>/data</w:t>
            </w:r>
          </w:p>
        </w:tc>
      </w:tr>
      <w:tr w:rsidR="006116E9" w14:paraId="190EA3DB" w14:textId="77777777" w:rsidTr="007D656A">
        <w:tc>
          <w:tcPr>
            <w:tcW w:w="3256" w:type="dxa"/>
          </w:tcPr>
          <w:p w14:paraId="7DB6CFC3" w14:textId="740E6827" w:rsidR="006116E9" w:rsidRDefault="008F463C" w:rsidP="00381AA1">
            <w:pPr>
              <w:pStyle w:val="EYTableText"/>
            </w:pPr>
            <w:r>
              <w:t xml:space="preserve">Cost per young person subject to </w:t>
            </w:r>
            <w:r w:rsidR="00864CDB">
              <w:t>community</w:t>
            </w:r>
            <w:r>
              <w:t xml:space="preserve">-based supervision, per day, </w:t>
            </w:r>
            <w:r w:rsidR="00810498">
              <w:t xml:space="preserve">2021 – inflated to </w:t>
            </w:r>
            <w:r>
              <w:t xml:space="preserve">2023 </w:t>
            </w:r>
            <w:r w:rsidR="00810498">
              <w:t xml:space="preserve">levels </w:t>
            </w:r>
            <w:r>
              <w:t>– Queensland</w:t>
            </w:r>
          </w:p>
        </w:tc>
        <w:tc>
          <w:tcPr>
            <w:tcW w:w="995" w:type="dxa"/>
          </w:tcPr>
          <w:p w14:paraId="694D71E2" w14:textId="16714C8F" w:rsidR="006116E9" w:rsidRDefault="00C025F3" w:rsidP="00381AA1">
            <w:pPr>
              <w:pStyle w:val="EYTableText"/>
            </w:pPr>
            <w:r>
              <w:t>$2</w:t>
            </w:r>
            <w:r w:rsidR="00810498">
              <w:t>59</w:t>
            </w:r>
          </w:p>
        </w:tc>
        <w:tc>
          <w:tcPr>
            <w:tcW w:w="4750" w:type="dxa"/>
          </w:tcPr>
          <w:p w14:paraId="5B16E9A7" w14:textId="32097C3D" w:rsidR="006116E9" w:rsidRPr="00F36CF4" w:rsidRDefault="00DD1C13" w:rsidP="00381AA1">
            <w:pPr>
              <w:pStyle w:val="EYTableText"/>
            </w:pPr>
            <w:r w:rsidRPr="00F36CF4">
              <w:t xml:space="preserve">Productivity Commission. (2023). Report on Government Services. </w:t>
            </w:r>
            <w:r w:rsidR="00C025F3" w:rsidRPr="00F36CF4">
              <w:t>https://www.pc.gov.au/ongoing/report-on-government-services/2023/community-services/youth-justice</w:t>
            </w:r>
          </w:p>
        </w:tc>
      </w:tr>
      <w:tr w:rsidR="00C025F3" w14:paraId="61E633C9" w14:textId="77777777" w:rsidTr="007D656A">
        <w:tc>
          <w:tcPr>
            <w:tcW w:w="3256" w:type="dxa"/>
          </w:tcPr>
          <w:p w14:paraId="01772CAD" w14:textId="3D7D4486" w:rsidR="008F5CE6" w:rsidRDefault="008F5CE6" w:rsidP="00381AA1">
            <w:pPr>
              <w:pStyle w:val="EYTableText"/>
            </w:pPr>
            <w:r>
              <w:t>Total estimated Youth Justice supervision costs up to age 18, for students with NCCD disability suspended in the Youth Justice age range (Years 9-12)</w:t>
            </w:r>
          </w:p>
        </w:tc>
        <w:tc>
          <w:tcPr>
            <w:tcW w:w="995" w:type="dxa"/>
          </w:tcPr>
          <w:p w14:paraId="53F99A13" w14:textId="574D35EA" w:rsidR="00C025F3" w:rsidRDefault="00D42D73" w:rsidP="00381AA1">
            <w:pPr>
              <w:pStyle w:val="EYTableText"/>
            </w:pPr>
            <w:r>
              <w:t>$5.</w:t>
            </w:r>
            <w:r w:rsidR="00132919">
              <w:t>8</w:t>
            </w:r>
            <w:r w:rsidR="005247EE">
              <w:t xml:space="preserve"> – </w:t>
            </w:r>
            <w:r w:rsidR="00132919">
              <w:t>10.3</w:t>
            </w:r>
            <w:r>
              <w:t>m</w:t>
            </w:r>
          </w:p>
        </w:tc>
        <w:tc>
          <w:tcPr>
            <w:tcW w:w="4750" w:type="dxa"/>
          </w:tcPr>
          <w:p w14:paraId="2998B1B5" w14:textId="49CA01E2" w:rsidR="008F5CE6" w:rsidRPr="00F36CF4" w:rsidRDefault="008F5CE6" w:rsidP="00381AA1">
            <w:pPr>
              <w:pStyle w:val="EYTableText"/>
            </w:pPr>
            <w:r w:rsidRPr="00F36CF4">
              <w:t xml:space="preserve">Calculated by multiplying the total days spent in </w:t>
            </w:r>
            <w:r>
              <w:t>YJ supervision</w:t>
            </w:r>
            <w:r w:rsidRPr="00F36CF4">
              <w:t xml:space="preserve"> </w:t>
            </w:r>
            <w:r>
              <w:t xml:space="preserve">for the NCCD disability cohort with suspensions </w:t>
            </w:r>
            <w:r w:rsidRPr="00F36CF4">
              <w:t xml:space="preserve">with </w:t>
            </w:r>
            <w:r>
              <w:t xml:space="preserve">(a) </w:t>
            </w:r>
            <w:r w:rsidRPr="00F36CF4">
              <w:t xml:space="preserve">the cost per young person and </w:t>
            </w:r>
            <w:r>
              <w:t xml:space="preserve">(b) </w:t>
            </w:r>
            <w:r w:rsidRPr="00F36CF4">
              <w:t xml:space="preserve">the proportion of suspensions received by </w:t>
            </w:r>
            <w:r>
              <w:t xml:space="preserve">NCCD disability </w:t>
            </w:r>
            <w:r w:rsidRPr="00F36CF4">
              <w:t xml:space="preserve">students in Year 9 </w:t>
            </w:r>
            <w:r>
              <w:t>–</w:t>
            </w:r>
            <w:r w:rsidRPr="00F36CF4">
              <w:t xml:space="preserve"> 12</w:t>
            </w:r>
            <w:r>
              <w:t xml:space="preserve"> </w:t>
            </w:r>
            <w:proofErr w:type="gramStart"/>
            <w:r>
              <w:t>in a given year</w:t>
            </w:r>
            <w:proofErr w:type="gramEnd"/>
            <w:r>
              <w:t xml:space="preserve"> (47.4%).</w:t>
            </w:r>
          </w:p>
        </w:tc>
      </w:tr>
      <w:tr w:rsidR="00BB5817" w14:paraId="099C60BE" w14:textId="77777777" w:rsidTr="007D656A">
        <w:tc>
          <w:tcPr>
            <w:tcW w:w="3256" w:type="dxa"/>
          </w:tcPr>
          <w:p w14:paraId="3E00F670" w14:textId="53B0BBC4" w:rsidR="00BB5817" w:rsidRDefault="00BB5817" w:rsidP="00BB5817">
            <w:pPr>
              <w:pStyle w:val="EYTableText"/>
            </w:pPr>
            <w:r>
              <w:t xml:space="preserve">Total estimated Youth Justice supervision costs </w:t>
            </w:r>
            <w:proofErr w:type="gramStart"/>
            <w:r>
              <w:t>in a given year</w:t>
            </w:r>
            <w:proofErr w:type="gramEnd"/>
            <w:r>
              <w:t>, for students suspended in the Youth Justice age range (Years 9-12)</w:t>
            </w:r>
          </w:p>
        </w:tc>
        <w:tc>
          <w:tcPr>
            <w:tcW w:w="995" w:type="dxa"/>
          </w:tcPr>
          <w:p w14:paraId="45FAF656" w14:textId="2DE32316" w:rsidR="00BB5817" w:rsidRDefault="00BB5817" w:rsidP="00BB5817">
            <w:pPr>
              <w:pStyle w:val="EYTableText"/>
            </w:pPr>
            <w:r>
              <w:t>$1.4 – 2.</w:t>
            </w:r>
            <w:r w:rsidR="00132919">
              <w:t>6</w:t>
            </w:r>
            <w:r>
              <w:t>m</w:t>
            </w:r>
          </w:p>
        </w:tc>
        <w:tc>
          <w:tcPr>
            <w:tcW w:w="4750" w:type="dxa"/>
          </w:tcPr>
          <w:p w14:paraId="47C91E4E" w14:textId="0F254483" w:rsidR="00BB5817" w:rsidRPr="00F36CF4" w:rsidRDefault="00BB5817" w:rsidP="00BB5817">
            <w:pPr>
              <w:pStyle w:val="EYTableText"/>
            </w:pPr>
            <w:r>
              <w:t xml:space="preserve">Calculated by dividing the total estimate for ages up to 18 by the approximate number of age years in the Youth Justice age range (4 age years 14-17 - these are the ages of </w:t>
            </w:r>
            <w:proofErr w:type="gramStart"/>
            <w:r>
              <w:t>the majority of</w:t>
            </w:r>
            <w:proofErr w:type="gramEnd"/>
            <w:r>
              <w:t xml:space="preserve"> young people involved in Youth Justice orders).</w:t>
            </w:r>
          </w:p>
        </w:tc>
      </w:tr>
      <w:tr w:rsidR="00CA58A0" w14:paraId="3EC8483F" w14:textId="77777777" w:rsidTr="001F671A">
        <w:tc>
          <w:tcPr>
            <w:tcW w:w="9001" w:type="dxa"/>
            <w:gridSpan w:val="3"/>
            <w:shd w:val="clear" w:color="auto" w:fill="D0E7FA" w:themeFill="accent3" w:themeFillTint="33"/>
          </w:tcPr>
          <w:p w14:paraId="5710E905" w14:textId="2CC79C7D" w:rsidR="00CA58A0" w:rsidRPr="00BB5817" w:rsidRDefault="00CA58A0" w:rsidP="00381AA1">
            <w:pPr>
              <w:pStyle w:val="EYTableText"/>
              <w:rPr>
                <w:b/>
                <w:bCs/>
                <w:i/>
                <w:iCs/>
              </w:rPr>
            </w:pPr>
            <w:r w:rsidRPr="00BB5817">
              <w:rPr>
                <w:b/>
                <w:bCs/>
              </w:rPr>
              <w:t xml:space="preserve">Parent </w:t>
            </w:r>
            <w:r w:rsidR="00F81FC6" w:rsidRPr="00BB5817">
              <w:rPr>
                <w:b/>
                <w:bCs/>
              </w:rPr>
              <w:t xml:space="preserve">/ carer opportunity </w:t>
            </w:r>
            <w:r w:rsidRPr="00BB5817">
              <w:rPr>
                <w:b/>
                <w:bCs/>
              </w:rPr>
              <w:t>costs</w:t>
            </w:r>
          </w:p>
        </w:tc>
      </w:tr>
      <w:tr w:rsidR="00890BA8" w14:paraId="341A76AE" w14:textId="3228C545" w:rsidTr="007D656A">
        <w:tc>
          <w:tcPr>
            <w:tcW w:w="3256" w:type="dxa"/>
          </w:tcPr>
          <w:p w14:paraId="368C7365" w14:textId="500E73F8" w:rsidR="009B7CB7" w:rsidRDefault="009A7AD4" w:rsidP="00381AA1">
            <w:pPr>
              <w:pStyle w:val="EYTableText"/>
            </w:pPr>
            <w:r>
              <w:t>Proportion</w:t>
            </w:r>
            <w:r w:rsidR="009B7CB7">
              <w:t xml:space="preserve"> of parent or carers for disabled students that are employed full-time</w:t>
            </w:r>
          </w:p>
        </w:tc>
        <w:tc>
          <w:tcPr>
            <w:tcW w:w="995" w:type="dxa"/>
          </w:tcPr>
          <w:p w14:paraId="6BBC02C7" w14:textId="0C47187F" w:rsidR="009B7CB7" w:rsidRDefault="009B7CB7" w:rsidP="00381AA1">
            <w:pPr>
              <w:pStyle w:val="EYTableText"/>
            </w:pPr>
            <w:r>
              <w:t>70.9%</w:t>
            </w:r>
          </w:p>
        </w:tc>
        <w:tc>
          <w:tcPr>
            <w:tcW w:w="4750" w:type="dxa"/>
          </w:tcPr>
          <w:p w14:paraId="6124BBFC" w14:textId="5D376472" w:rsidR="009B7CB7" w:rsidRPr="00F36CF4" w:rsidRDefault="00DD1C13" w:rsidP="00381AA1">
            <w:pPr>
              <w:pStyle w:val="EYTableText"/>
            </w:pPr>
            <w:r w:rsidRPr="00F36CF4">
              <w:t>Australian Bureau of Statistics. Disability ageing and ca</w:t>
            </w:r>
            <w:r w:rsidR="00791C2A" w:rsidRPr="00F36CF4">
              <w:t xml:space="preserve">rers summary findings. </w:t>
            </w:r>
            <w:r w:rsidR="0044037A" w:rsidRPr="00F36CF4">
              <w:t>https://www.abs.gov.au/statistics/health/disability/disability-ageing-and-carers-australia-summary-findings/latest-release</w:t>
            </w:r>
          </w:p>
        </w:tc>
      </w:tr>
      <w:tr w:rsidR="00890BA8" w14:paraId="649EF946" w14:textId="210D851D" w:rsidTr="007D656A">
        <w:tc>
          <w:tcPr>
            <w:tcW w:w="3256" w:type="dxa"/>
          </w:tcPr>
          <w:p w14:paraId="7647B8FD" w14:textId="68320564" w:rsidR="009B7CB7" w:rsidRDefault="00FA008B" w:rsidP="00381AA1">
            <w:pPr>
              <w:pStyle w:val="EYTableText"/>
            </w:pPr>
            <w:r>
              <w:lastRenderedPageBreak/>
              <w:t>Number</w:t>
            </w:r>
            <w:r w:rsidR="009B7CB7">
              <w:t xml:space="preserve"> of days of employment missed by parent or carers for disabled students</w:t>
            </w:r>
          </w:p>
        </w:tc>
        <w:tc>
          <w:tcPr>
            <w:tcW w:w="995" w:type="dxa"/>
          </w:tcPr>
          <w:p w14:paraId="2484E382" w14:textId="3945B566" w:rsidR="009B7CB7" w:rsidRDefault="00C80912" w:rsidP="00381AA1">
            <w:pPr>
              <w:pStyle w:val="EYTableText"/>
            </w:pPr>
            <w:r>
              <w:t>75,942</w:t>
            </w:r>
          </w:p>
        </w:tc>
        <w:tc>
          <w:tcPr>
            <w:tcW w:w="4750" w:type="dxa"/>
          </w:tcPr>
          <w:p w14:paraId="1EB87F08" w14:textId="7EFE523D" w:rsidR="009B7CB7" w:rsidRPr="00F36CF4" w:rsidRDefault="005C2C98" w:rsidP="00381AA1">
            <w:pPr>
              <w:pStyle w:val="EYTableText"/>
            </w:pPr>
            <w:r w:rsidRPr="00F36CF4">
              <w:t xml:space="preserve">Derived </w:t>
            </w:r>
            <w:r w:rsidR="00A77AA8" w:rsidRPr="00F36CF4">
              <w:t>by multiplying the number of school days missed in 2023 with the proportion of carers of students with disabilities that are full time employed</w:t>
            </w:r>
          </w:p>
        </w:tc>
      </w:tr>
      <w:tr w:rsidR="00890BA8" w14:paraId="012F6074" w14:textId="1F40A0B8" w:rsidTr="007D656A">
        <w:tc>
          <w:tcPr>
            <w:tcW w:w="3256" w:type="dxa"/>
          </w:tcPr>
          <w:p w14:paraId="41CDCFCA" w14:textId="26C0B254" w:rsidR="009B7CB7" w:rsidRDefault="005C2C98" w:rsidP="00381AA1">
            <w:pPr>
              <w:pStyle w:val="EYTableText"/>
            </w:pPr>
            <w:r>
              <w:t xml:space="preserve">Median </w:t>
            </w:r>
            <w:r w:rsidR="005E03A4">
              <w:t xml:space="preserve">daily </w:t>
            </w:r>
            <w:r w:rsidR="0022481A">
              <w:t>earnings</w:t>
            </w:r>
            <w:r>
              <w:t xml:space="preserve"> for carers of students with disabilities</w:t>
            </w:r>
            <w:r w:rsidR="008E0B61">
              <w:t xml:space="preserve"> (2018)</w:t>
            </w:r>
          </w:p>
        </w:tc>
        <w:tc>
          <w:tcPr>
            <w:tcW w:w="995" w:type="dxa"/>
          </w:tcPr>
          <w:p w14:paraId="6FA150E8" w14:textId="58400EA2" w:rsidR="009B7CB7" w:rsidRDefault="005C2C98" w:rsidP="00381AA1">
            <w:pPr>
              <w:pStyle w:val="EYTableText"/>
            </w:pPr>
            <w:r>
              <w:t>$160</w:t>
            </w:r>
          </w:p>
        </w:tc>
        <w:tc>
          <w:tcPr>
            <w:tcW w:w="4750" w:type="dxa"/>
          </w:tcPr>
          <w:p w14:paraId="0D6264AD" w14:textId="718D120F" w:rsidR="009B7CB7" w:rsidRPr="00F36CF4" w:rsidRDefault="00791C2A" w:rsidP="00381AA1">
            <w:pPr>
              <w:pStyle w:val="EYTableText"/>
            </w:pPr>
            <w:r w:rsidRPr="00F36CF4">
              <w:t xml:space="preserve">Australian Bureau of Statistics. Disability ageing and carers summary findings. </w:t>
            </w:r>
            <w:r w:rsidR="00902FB9" w:rsidRPr="00F36CF4">
              <w:t>https://www.abs.gov.au/statistics/health/disability/disability-ageing-and-carers-australia-summary-findings/latest-release</w:t>
            </w:r>
          </w:p>
        </w:tc>
      </w:tr>
      <w:tr w:rsidR="00A77AA8" w14:paraId="498A561B" w14:textId="77777777" w:rsidTr="007D656A">
        <w:tc>
          <w:tcPr>
            <w:tcW w:w="3256" w:type="dxa"/>
          </w:tcPr>
          <w:p w14:paraId="07675082" w14:textId="018C3B01" w:rsidR="00A77AA8" w:rsidRDefault="00D83945" w:rsidP="00381AA1">
            <w:pPr>
              <w:pStyle w:val="EYTableText"/>
            </w:pPr>
            <w:r>
              <w:t>Opportunity cost per year for employment days missed</w:t>
            </w:r>
          </w:p>
        </w:tc>
        <w:tc>
          <w:tcPr>
            <w:tcW w:w="995" w:type="dxa"/>
          </w:tcPr>
          <w:p w14:paraId="21883AA9" w14:textId="78FC8126" w:rsidR="00A77AA8" w:rsidRDefault="00D83945" w:rsidP="00381AA1">
            <w:pPr>
              <w:pStyle w:val="EYTableText"/>
            </w:pPr>
            <w:r>
              <w:t>$</w:t>
            </w:r>
            <w:r w:rsidR="00C80912">
              <w:t>14</w:t>
            </w:r>
            <w:r w:rsidR="007D656A">
              <w:t>.1m</w:t>
            </w:r>
          </w:p>
        </w:tc>
        <w:tc>
          <w:tcPr>
            <w:tcW w:w="4750" w:type="dxa"/>
          </w:tcPr>
          <w:p w14:paraId="023F180D" w14:textId="1ACAABB8" w:rsidR="00A77AA8" w:rsidRPr="00F36CF4" w:rsidRDefault="00D83945" w:rsidP="00381AA1">
            <w:pPr>
              <w:pStyle w:val="EYTableText"/>
            </w:pPr>
            <w:r w:rsidRPr="00F36CF4">
              <w:t xml:space="preserve">Derived by multiplying the number of days of employment missed with the median </w:t>
            </w:r>
            <w:r w:rsidR="0022481A">
              <w:t>earnings</w:t>
            </w:r>
            <w:r w:rsidRPr="00F36CF4">
              <w:t xml:space="preserve"> for carers of students with disabilities</w:t>
            </w:r>
          </w:p>
        </w:tc>
      </w:tr>
      <w:tr w:rsidR="00CA58A0" w14:paraId="29A92344" w14:textId="77777777" w:rsidTr="001F671A">
        <w:tc>
          <w:tcPr>
            <w:tcW w:w="9001" w:type="dxa"/>
            <w:gridSpan w:val="3"/>
            <w:shd w:val="clear" w:color="auto" w:fill="D0E7FA" w:themeFill="accent3" w:themeFillTint="33"/>
          </w:tcPr>
          <w:p w14:paraId="14234F62" w14:textId="3108153C" w:rsidR="00CA58A0" w:rsidRPr="00286734" w:rsidRDefault="00F72345" w:rsidP="00381AA1">
            <w:pPr>
              <w:pStyle w:val="EYTableText"/>
              <w:rPr>
                <w:b/>
                <w:bCs/>
                <w:i/>
                <w:iCs/>
              </w:rPr>
            </w:pPr>
            <w:r w:rsidRPr="00286734">
              <w:rPr>
                <w:b/>
                <w:bCs/>
              </w:rPr>
              <w:t>Teacher opportunity cost</w:t>
            </w:r>
          </w:p>
        </w:tc>
      </w:tr>
      <w:tr w:rsidR="00545D5E" w14:paraId="5595C5C5" w14:textId="5E1066BD" w:rsidTr="007D656A">
        <w:tc>
          <w:tcPr>
            <w:tcW w:w="3256" w:type="dxa"/>
          </w:tcPr>
          <w:p w14:paraId="1193E55C" w14:textId="7ED8BA36" w:rsidR="00545D5E" w:rsidRPr="006A376B" w:rsidRDefault="00545D5E" w:rsidP="00381AA1">
            <w:pPr>
              <w:pStyle w:val="EYTableText"/>
            </w:pPr>
            <w:r w:rsidRPr="006A376B">
              <w:t>Proportion of lower secondary typical classroom teacher time used on maintaining classroom order</w:t>
            </w:r>
          </w:p>
        </w:tc>
        <w:tc>
          <w:tcPr>
            <w:tcW w:w="995" w:type="dxa"/>
          </w:tcPr>
          <w:p w14:paraId="3C885528" w14:textId="624ED7A7" w:rsidR="00545D5E" w:rsidRDefault="00545D5E" w:rsidP="00381AA1">
            <w:pPr>
              <w:pStyle w:val="EYTableText"/>
            </w:pPr>
            <w:r>
              <w:t>14.5%</w:t>
            </w:r>
          </w:p>
        </w:tc>
        <w:tc>
          <w:tcPr>
            <w:tcW w:w="4750" w:type="dxa"/>
            <w:vMerge w:val="restart"/>
          </w:tcPr>
          <w:p w14:paraId="364253AD" w14:textId="3556533E" w:rsidR="00545D5E" w:rsidRPr="00F36CF4" w:rsidRDefault="00545D5E" w:rsidP="00381AA1">
            <w:pPr>
              <w:pStyle w:val="EYTableText"/>
            </w:pPr>
            <w:r w:rsidRPr="00F36CF4">
              <w:t>Organisation for Economic Co-operation and Development. (2018). TALIS 2018 Tables. https://www.oecd.org/education/talis/talis2018tables.htm</w:t>
            </w:r>
          </w:p>
        </w:tc>
      </w:tr>
      <w:tr w:rsidR="00545D5E" w14:paraId="299D4F6F" w14:textId="2ED5A43B" w:rsidTr="007D656A">
        <w:tc>
          <w:tcPr>
            <w:tcW w:w="3256" w:type="dxa"/>
          </w:tcPr>
          <w:p w14:paraId="6DD0F5A6" w14:textId="1A1D017D" w:rsidR="00545D5E" w:rsidRPr="006A376B" w:rsidRDefault="00545D5E" w:rsidP="00381AA1">
            <w:pPr>
              <w:pStyle w:val="EYTableText"/>
            </w:pPr>
            <w:r w:rsidRPr="006A376B">
              <w:t>Proportion of primary school typical classroom teacher time used on maintaining classroom order</w:t>
            </w:r>
          </w:p>
        </w:tc>
        <w:tc>
          <w:tcPr>
            <w:tcW w:w="995" w:type="dxa"/>
          </w:tcPr>
          <w:p w14:paraId="5D370AE0" w14:textId="41115D3F" w:rsidR="00545D5E" w:rsidRDefault="00545D5E" w:rsidP="00381AA1">
            <w:pPr>
              <w:pStyle w:val="EYTableText"/>
            </w:pPr>
            <w:r>
              <w:t>15.4%</w:t>
            </w:r>
          </w:p>
        </w:tc>
        <w:tc>
          <w:tcPr>
            <w:tcW w:w="4750" w:type="dxa"/>
            <w:vMerge/>
          </w:tcPr>
          <w:p w14:paraId="550A3D2E" w14:textId="06A16DE4" w:rsidR="00545D5E" w:rsidRPr="00F36CF4" w:rsidRDefault="00545D5E" w:rsidP="00381AA1">
            <w:pPr>
              <w:pStyle w:val="EYTableText"/>
            </w:pPr>
          </w:p>
        </w:tc>
      </w:tr>
      <w:tr w:rsidR="00545D5E" w14:paraId="747360BC" w14:textId="01FF7013" w:rsidTr="007D656A">
        <w:tc>
          <w:tcPr>
            <w:tcW w:w="3256" w:type="dxa"/>
          </w:tcPr>
          <w:p w14:paraId="12FD30BD" w14:textId="1BA48903" w:rsidR="00545D5E" w:rsidRPr="006A376B" w:rsidRDefault="00545D5E" w:rsidP="00381AA1">
            <w:pPr>
              <w:pStyle w:val="EYTableText"/>
            </w:pPr>
            <w:r w:rsidRPr="006A376B">
              <w:t>Total hours per week spent teaching per teacher in lower secondary school</w:t>
            </w:r>
          </w:p>
        </w:tc>
        <w:tc>
          <w:tcPr>
            <w:tcW w:w="995" w:type="dxa"/>
          </w:tcPr>
          <w:p w14:paraId="388D468E" w14:textId="0ED8BD9B" w:rsidR="00545D5E" w:rsidRDefault="00545D5E" w:rsidP="00381AA1">
            <w:pPr>
              <w:pStyle w:val="EYTableText"/>
            </w:pPr>
            <w:r>
              <w:t>27</w:t>
            </w:r>
          </w:p>
        </w:tc>
        <w:tc>
          <w:tcPr>
            <w:tcW w:w="4750" w:type="dxa"/>
            <w:vMerge/>
          </w:tcPr>
          <w:p w14:paraId="3F7B2AFF" w14:textId="7A0179ED" w:rsidR="00545D5E" w:rsidRPr="00F36CF4" w:rsidRDefault="00545D5E" w:rsidP="00381AA1">
            <w:pPr>
              <w:pStyle w:val="EYTableText"/>
            </w:pPr>
          </w:p>
        </w:tc>
      </w:tr>
      <w:tr w:rsidR="00B331CE" w14:paraId="3A642A6A" w14:textId="77777777" w:rsidTr="007D656A">
        <w:tc>
          <w:tcPr>
            <w:tcW w:w="3256" w:type="dxa"/>
          </w:tcPr>
          <w:p w14:paraId="5D1BC9FD" w14:textId="2D6D589E" w:rsidR="00B331CE" w:rsidRPr="006A376B" w:rsidRDefault="00B331CE" w:rsidP="00381AA1">
            <w:pPr>
              <w:pStyle w:val="EYTableText"/>
            </w:pPr>
            <w:r>
              <w:t>Average hours spent per week maintaining classroom order</w:t>
            </w:r>
            <w:r w:rsidR="006E202C">
              <w:t xml:space="preserve"> (all students)</w:t>
            </w:r>
          </w:p>
        </w:tc>
        <w:tc>
          <w:tcPr>
            <w:tcW w:w="995" w:type="dxa"/>
          </w:tcPr>
          <w:p w14:paraId="0E20D74A" w14:textId="1569E4EE" w:rsidR="00B331CE" w:rsidRDefault="00B331CE" w:rsidP="00381AA1">
            <w:pPr>
              <w:pStyle w:val="EYTableText"/>
            </w:pPr>
            <w:r>
              <w:t>3.9</w:t>
            </w:r>
          </w:p>
        </w:tc>
        <w:tc>
          <w:tcPr>
            <w:tcW w:w="4750" w:type="dxa"/>
          </w:tcPr>
          <w:p w14:paraId="1CEFE656" w14:textId="77CF9EF4" w:rsidR="00B331CE" w:rsidRPr="00F36CF4" w:rsidRDefault="00B331CE" w:rsidP="00381AA1">
            <w:pPr>
              <w:pStyle w:val="EYTableText"/>
            </w:pPr>
            <w:r w:rsidRPr="00F36CF4">
              <w:t xml:space="preserve">Derived by multiplying the </w:t>
            </w:r>
            <w:r w:rsidR="00F679D4" w:rsidRPr="00F36CF4">
              <w:t>total hours per week spent teaching with the proportion of time used on maintaining classroom order</w:t>
            </w:r>
          </w:p>
        </w:tc>
      </w:tr>
      <w:tr w:rsidR="00890BA8" w14:paraId="7C61625E" w14:textId="30FDFAC0" w:rsidTr="007D656A">
        <w:tc>
          <w:tcPr>
            <w:tcW w:w="3256" w:type="dxa"/>
          </w:tcPr>
          <w:p w14:paraId="0952F3ED" w14:textId="5F720C3E" w:rsidR="009B7CB7" w:rsidRPr="006A376B" w:rsidRDefault="00563D9A" w:rsidP="00381AA1">
            <w:pPr>
              <w:pStyle w:val="EYTableText"/>
            </w:pPr>
            <w:r w:rsidRPr="006A376B">
              <w:t>Teacher salaried hours per week</w:t>
            </w:r>
          </w:p>
        </w:tc>
        <w:tc>
          <w:tcPr>
            <w:tcW w:w="995" w:type="dxa"/>
          </w:tcPr>
          <w:p w14:paraId="018F111C" w14:textId="7A4C7800" w:rsidR="009B7CB7" w:rsidRDefault="006A376B" w:rsidP="00381AA1">
            <w:pPr>
              <w:pStyle w:val="EYTableText"/>
            </w:pPr>
            <w:r>
              <w:t>40</w:t>
            </w:r>
          </w:p>
        </w:tc>
        <w:tc>
          <w:tcPr>
            <w:tcW w:w="4750" w:type="dxa"/>
          </w:tcPr>
          <w:p w14:paraId="1A896FB8" w14:textId="3A55BB9B" w:rsidR="009B7CB7" w:rsidRPr="00F36CF4" w:rsidRDefault="00545D5E" w:rsidP="00381AA1">
            <w:pPr>
              <w:pStyle w:val="EYTableText"/>
            </w:pPr>
            <w:r w:rsidRPr="00F36CF4">
              <w:t xml:space="preserve">Education NSW. (2024). 2024 Calendar. </w:t>
            </w:r>
            <w:r w:rsidR="00F679D4" w:rsidRPr="00F36CF4">
              <w:t>https://education.nsw.gov.au/schooling/calendars/2024</w:t>
            </w:r>
          </w:p>
        </w:tc>
      </w:tr>
      <w:tr w:rsidR="00890BA8" w14:paraId="11771080" w14:textId="1C9B967C" w:rsidTr="007D656A">
        <w:tc>
          <w:tcPr>
            <w:tcW w:w="3256" w:type="dxa"/>
          </w:tcPr>
          <w:p w14:paraId="3F07B107" w14:textId="302F3B58" w:rsidR="009B7CB7" w:rsidRPr="006A376B" w:rsidRDefault="004B7147" w:rsidP="00381AA1">
            <w:pPr>
              <w:pStyle w:val="EYTableText"/>
            </w:pPr>
            <w:r>
              <w:t>Teacher</w:t>
            </w:r>
            <w:r w:rsidR="00563D9A" w:rsidRPr="006A376B">
              <w:t xml:space="preserve"> salary in 2023</w:t>
            </w:r>
          </w:p>
        </w:tc>
        <w:tc>
          <w:tcPr>
            <w:tcW w:w="995" w:type="dxa"/>
          </w:tcPr>
          <w:p w14:paraId="35B02E8E" w14:textId="55D7190F" w:rsidR="009B7CB7" w:rsidRDefault="00776518" w:rsidP="00381AA1">
            <w:pPr>
              <w:pStyle w:val="EYTableText"/>
            </w:pPr>
            <w:r>
              <w:t>$</w:t>
            </w:r>
            <w:r w:rsidR="00DE0437">
              <w:t>94,994</w:t>
            </w:r>
          </w:p>
        </w:tc>
        <w:tc>
          <w:tcPr>
            <w:tcW w:w="4750" w:type="dxa"/>
          </w:tcPr>
          <w:p w14:paraId="17E8C3C1" w14:textId="064F46F4" w:rsidR="009B7CB7" w:rsidRPr="00F36CF4" w:rsidRDefault="00A027F8" w:rsidP="00381AA1">
            <w:pPr>
              <w:pStyle w:val="EYTableText"/>
            </w:pPr>
            <w:r w:rsidRPr="00F36CF4">
              <w:t xml:space="preserve">Queensland Government. (2024). Pay and Benefits. </w:t>
            </w:r>
            <w:r w:rsidR="00531B0C" w:rsidRPr="00F36CF4">
              <w:t>https://teach.qld.gov.au/teach-in-queensland-state-schools/pay-benefits-and-incentives/pay-and-benefits</w:t>
            </w:r>
          </w:p>
        </w:tc>
      </w:tr>
      <w:tr w:rsidR="00890BA8" w14:paraId="29AD10E7" w14:textId="173C34B8" w:rsidTr="007D656A">
        <w:tc>
          <w:tcPr>
            <w:tcW w:w="3256" w:type="dxa"/>
          </w:tcPr>
          <w:p w14:paraId="1FC0AA7C" w14:textId="1060F2AF" w:rsidR="009B7CB7" w:rsidRPr="006A376B" w:rsidRDefault="00087484" w:rsidP="00381AA1">
            <w:pPr>
              <w:pStyle w:val="EYTableText"/>
            </w:pPr>
            <w:r>
              <w:t>Behaviour management attributed to students</w:t>
            </w:r>
            <w:r w:rsidR="00563D9A" w:rsidRPr="006A376B">
              <w:t xml:space="preserve"> with disability receiving suspensions</w:t>
            </w:r>
          </w:p>
        </w:tc>
        <w:tc>
          <w:tcPr>
            <w:tcW w:w="995" w:type="dxa"/>
          </w:tcPr>
          <w:p w14:paraId="1F8A7F19" w14:textId="1D47F2EC" w:rsidR="009B7CB7" w:rsidRDefault="00B056BE" w:rsidP="00381AA1">
            <w:pPr>
              <w:pStyle w:val="EYTableText"/>
            </w:pPr>
            <w:r>
              <w:t>0.8</w:t>
            </w:r>
            <w:r w:rsidR="006A376B">
              <w:t>%</w:t>
            </w:r>
          </w:p>
        </w:tc>
        <w:tc>
          <w:tcPr>
            <w:tcW w:w="4750" w:type="dxa"/>
          </w:tcPr>
          <w:p w14:paraId="7BBF2B71" w14:textId="262EB7A5" w:rsidR="009B7CB7" w:rsidRPr="00F36CF4" w:rsidRDefault="00CD7D52" w:rsidP="00381AA1">
            <w:pPr>
              <w:pStyle w:val="EYTableText"/>
            </w:pPr>
            <w:r w:rsidRPr="00F36CF4">
              <w:t xml:space="preserve">Derived </w:t>
            </w:r>
            <w:r w:rsidR="00303FF6" w:rsidRPr="00F36CF4">
              <w:t xml:space="preserve">by </w:t>
            </w:r>
            <w:r w:rsidR="00B100FF" w:rsidRPr="00F36CF4">
              <w:t xml:space="preserve">multiplying the proportion of students with </w:t>
            </w:r>
            <w:r w:rsidR="002E4E2A" w:rsidRPr="00F36CF4">
              <w:t>a NCCD</w:t>
            </w:r>
            <w:r w:rsidR="00B100FF" w:rsidRPr="00F36CF4">
              <w:t xml:space="preserve"> verified disability with the </w:t>
            </w:r>
            <w:r w:rsidR="00692B3E" w:rsidRPr="00F36CF4">
              <w:t xml:space="preserve">proportion of students with </w:t>
            </w:r>
            <w:r w:rsidR="002E4E2A" w:rsidRPr="00F36CF4">
              <w:t>a NCCD</w:t>
            </w:r>
            <w:r w:rsidR="00692B3E" w:rsidRPr="00F36CF4">
              <w:t xml:space="preserve"> verified disability receiving a short suspension</w:t>
            </w:r>
          </w:p>
        </w:tc>
      </w:tr>
      <w:tr w:rsidR="00087484" w14:paraId="53FF86D8" w14:textId="77777777" w:rsidTr="007D656A">
        <w:tc>
          <w:tcPr>
            <w:tcW w:w="3256" w:type="dxa"/>
          </w:tcPr>
          <w:p w14:paraId="1CE9D1F4" w14:textId="630667B1" w:rsidR="00087484" w:rsidRPr="006A376B" w:rsidRDefault="008E4F06" w:rsidP="00381AA1">
            <w:pPr>
              <w:pStyle w:val="EYTableText"/>
            </w:pPr>
            <w:r>
              <w:t>Total number of hours a single teacher uses per year to address behaviour in classrooms for students with disability</w:t>
            </w:r>
            <w:r w:rsidR="00363095">
              <w:t xml:space="preserve"> receiving suspensions</w:t>
            </w:r>
          </w:p>
        </w:tc>
        <w:tc>
          <w:tcPr>
            <w:tcW w:w="995" w:type="dxa"/>
          </w:tcPr>
          <w:p w14:paraId="51284772" w14:textId="352FE0E1" w:rsidR="00087484" w:rsidRDefault="00D670E9" w:rsidP="00381AA1">
            <w:pPr>
              <w:pStyle w:val="EYTableText"/>
            </w:pPr>
            <w:r>
              <w:t>1.3</w:t>
            </w:r>
          </w:p>
        </w:tc>
        <w:tc>
          <w:tcPr>
            <w:tcW w:w="4750" w:type="dxa"/>
          </w:tcPr>
          <w:p w14:paraId="1149B709" w14:textId="3FCD9287" w:rsidR="00087484" w:rsidRPr="00F36CF4" w:rsidRDefault="00D670E9" w:rsidP="00381AA1">
            <w:pPr>
              <w:pStyle w:val="EYTableText"/>
            </w:pPr>
            <w:r w:rsidRPr="00F36CF4">
              <w:t>Derived by multiplying the total number of hours a single teacher uses per year to address behaviour in classrooms by the attribution factor to students with a</w:t>
            </w:r>
            <w:r w:rsidR="002E4E2A" w:rsidRPr="00F36CF4">
              <w:t xml:space="preserve"> NCCD</w:t>
            </w:r>
            <w:r w:rsidRPr="00F36CF4">
              <w:t xml:space="preserve"> verified disability receiving suspensions</w:t>
            </w:r>
          </w:p>
        </w:tc>
      </w:tr>
      <w:tr w:rsidR="00890BA8" w14:paraId="508D15F7" w14:textId="050AB231" w:rsidTr="007D656A">
        <w:tc>
          <w:tcPr>
            <w:tcW w:w="3256" w:type="dxa"/>
          </w:tcPr>
          <w:p w14:paraId="6F6E2ECE" w14:textId="0E4562FA" w:rsidR="009B7CB7" w:rsidRPr="006A376B" w:rsidRDefault="006A376B" w:rsidP="00381AA1">
            <w:pPr>
              <w:pStyle w:val="EYTableText"/>
            </w:pPr>
            <w:r w:rsidRPr="006A376B">
              <w:t>Number of FTE teachers (2022)</w:t>
            </w:r>
          </w:p>
        </w:tc>
        <w:tc>
          <w:tcPr>
            <w:tcW w:w="995" w:type="dxa"/>
          </w:tcPr>
          <w:p w14:paraId="208B60AE" w14:textId="6E9AA743" w:rsidR="009B7CB7" w:rsidRDefault="006A376B" w:rsidP="00381AA1">
            <w:pPr>
              <w:pStyle w:val="EYTableText"/>
            </w:pPr>
            <w:r>
              <w:t>98,829</w:t>
            </w:r>
          </w:p>
        </w:tc>
        <w:tc>
          <w:tcPr>
            <w:tcW w:w="4750" w:type="dxa"/>
          </w:tcPr>
          <w:p w14:paraId="0662C1F1" w14:textId="7752DAE1" w:rsidR="009B7CB7" w:rsidRPr="00F36CF4" w:rsidRDefault="00145205" w:rsidP="00381AA1">
            <w:pPr>
              <w:pStyle w:val="EYTableText"/>
            </w:pPr>
            <w:r w:rsidRPr="00F36CF4">
              <w:t xml:space="preserve">Australian Bureau of Statistics. </w:t>
            </w:r>
            <w:r w:rsidR="00C82243" w:rsidRPr="00F36CF4">
              <w:t xml:space="preserve">(2023). Data on government and non-government students, staff and schools. </w:t>
            </w:r>
            <w:r w:rsidR="005B251D" w:rsidRPr="00F36CF4">
              <w:t>https://www.abs.gov.au/statistics/people/education/schools/latest-release</w:t>
            </w:r>
          </w:p>
        </w:tc>
      </w:tr>
      <w:tr w:rsidR="00890BA8" w14:paraId="4BA6E10A" w14:textId="7EA03040" w:rsidTr="007D656A">
        <w:tc>
          <w:tcPr>
            <w:tcW w:w="3256" w:type="dxa"/>
          </w:tcPr>
          <w:p w14:paraId="4F908DDB" w14:textId="51857140" w:rsidR="009B7CB7" w:rsidRPr="006A376B" w:rsidRDefault="006A376B" w:rsidP="00381AA1">
            <w:pPr>
              <w:pStyle w:val="EYTableText"/>
            </w:pPr>
            <w:r w:rsidRPr="006A376B">
              <w:t>School weeks per year</w:t>
            </w:r>
          </w:p>
        </w:tc>
        <w:tc>
          <w:tcPr>
            <w:tcW w:w="995" w:type="dxa"/>
          </w:tcPr>
          <w:p w14:paraId="24C41934" w14:textId="7781579C" w:rsidR="009B7CB7" w:rsidRDefault="006A376B" w:rsidP="00381AA1">
            <w:pPr>
              <w:pStyle w:val="EYTableText"/>
            </w:pPr>
            <w:r>
              <w:t>40</w:t>
            </w:r>
          </w:p>
        </w:tc>
        <w:tc>
          <w:tcPr>
            <w:tcW w:w="4750" w:type="dxa"/>
          </w:tcPr>
          <w:p w14:paraId="62680C05" w14:textId="37B59261" w:rsidR="009B7CB7" w:rsidRPr="00F36CF4" w:rsidRDefault="00C82243" w:rsidP="00381AA1">
            <w:pPr>
              <w:pStyle w:val="EYTableText"/>
            </w:pPr>
            <w:r w:rsidRPr="00F36CF4">
              <w:t>Education NSW. (2024). 2024 Calendar. https://education.nsw.gov.au/schooling/calendars/2024</w:t>
            </w:r>
          </w:p>
        </w:tc>
      </w:tr>
      <w:tr w:rsidR="00A805ED" w14:paraId="5EC36C0D" w14:textId="77777777" w:rsidTr="007D656A">
        <w:tc>
          <w:tcPr>
            <w:tcW w:w="3256" w:type="dxa"/>
          </w:tcPr>
          <w:p w14:paraId="5755F0FF" w14:textId="3EA34BB8" w:rsidR="00A805ED" w:rsidRPr="006A376B" w:rsidRDefault="00A805ED" w:rsidP="00381AA1">
            <w:pPr>
              <w:pStyle w:val="EYTableText"/>
            </w:pPr>
            <w:r>
              <w:t>Annual opportunity cost for all teachers addressing behaviour management for children with disabilities receiving suspensions</w:t>
            </w:r>
          </w:p>
        </w:tc>
        <w:tc>
          <w:tcPr>
            <w:tcW w:w="995" w:type="dxa"/>
          </w:tcPr>
          <w:p w14:paraId="170B3E28" w14:textId="5125E35C" w:rsidR="00E019E1" w:rsidRDefault="004B1680" w:rsidP="00381AA1">
            <w:pPr>
              <w:pStyle w:val="EYTableText"/>
            </w:pPr>
            <w:r>
              <w:t>$</w:t>
            </w:r>
            <w:r w:rsidR="001A704A">
              <w:t>20</w:t>
            </w:r>
            <w:r w:rsidR="002E3227">
              <w:t>.1m</w:t>
            </w:r>
          </w:p>
        </w:tc>
        <w:tc>
          <w:tcPr>
            <w:tcW w:w="4750" w:type="dxa"/>
          </w:tcPr>
          <w:p w14:paraId="255C3E01" w14:textId="0E47BCA5" w:rsidR="00A805ED" w:rsidRPr="00F36CF4" w:rsidRDefault="004B1680" w:rsidP="00381AA1">
            <w:pPr>
              <w:pStyle w:val="EYTableText"/>
            </w:pPr>
            <w:r w:rsidRPr="00F36CF4">
              <w:t xml:space="preserve">Derived by multiplying </w:t>
            </w:r>
            <w:r w:rsidR="00FA6D45" w:rsidRPr="00F36CF4">
              <w:t>(</w:t>
            </w:r>
            <w:r w:rsidRPr="00F36CF4">
              <w:t>the hourly rate for a teacher</w:t>
            </w:r>
            <w:r w:rsidR="00FA6D45" w:rsidRPr="00F36CF4">
              <w:t>)</w:t>
            </w:r>
            <w:r w:rsidRPr="00F36CF4">
              <w:t xml:space="preserve"> with </w:t>
            </w:r>
            <w:r w:rsidR="00FA6D45" w:rsidRPr="00F36CF4">
              <w:t>(</w:t>
            </w:r>
            <w:r w:rsidRPr="00F36CF4">
              <w:t xml:space="preserve">the </w:t>
            </w:r>
            <w:r w:rsidR="00363095" w:rsidRPr="00F36CF4">
              <w:t>number of hours a teacher spends per year addressing behaviour for students with a</w:t>
            </w:r>
            <w:r w:rsidR="002E4E2A" w:rsidRPr="00F36CF4">
              <w:t xml:space="preserve"> NCCD</w:t>
            </w:r>
            <w:r w:rsidR="00363095" w:rsidRPr="00F36CF4">
              <w:t xml:space="preserve"> verified disability receiving suspensions</w:t>
            </w:r>
            <w:r w:rsidR="00FA6D45" w:rsidRPr="00F36CF4">
              <w:t>)</w:t>
            </w:r>
            <w:r w:rsidR="00363095" w:rsidRPr="00F36CF4">
              <w:t xml:space="preserve"> with </w:t>
            </w:r>
            <w:r w:rsidR="00FA6D45" w:rsidRPr="00F36CF4">
              <w:t>(</w:t>
            </w:r>
            <w:r w:rsidR="00363095" w:rsidRPr="00F36CF4">
              <w:t>the number of FTE teachers</w:t>
            </w:r>
            <w:r w:rsidR="00FA6D45" w:rsidRPr="00F36CF4">
              <w:t>)</w:t>
            </w:r>
          </w:p>
        </w:tc>
      </w:tr>
      <w:tr w:rsidR="00F72345" w14:paraId="7F582811" w14:textId="77777777" w:rsidTr="001F671A">
        <w:tc>
          <w:tcPr>
            <w:tcW w:w="9001" w:type="dxa"/>
            <w:gridSpan w:val="3"/>
            <w:shd w:val="clear" w:color="auto" w:fill="D0E7FA" w:themeFill="accent3" w:themeFillTint="33"/>
          </w:tcPr>
          <w:p w14:paraId="14439281" w14:textId="41EB9C8A" w:rsidR="00F72345" w:rsidRPr="00787740" w:rsidRDefault="00F72345" w:rsidP="00381AA1">
            <w:pPr>
              <w:pStyle w:val="EYTableText"/>
              <w:rPr>
                <w:b/>
                <w:bCs/>
                <w:i/>
                <w:iCs/>
              </w:rPr>
            </w:pPr>
            <w:r w:rsidRPr="00787740">
              <w:rPr>
                <w:b/>
                <w:bCs/>
              </w:rPr>
              <w:t>NAPLAN impacts</w:t>
            </w:r>
          </w:p>
        </w:tc>
      </w:tr>
      <w:tr w:rsidR="002D0F1E" w14:paraId="40D4831A" w14:textId="65D31D3C" w:rsidTr="007D656A">
        <w:tc>
          <w:tcPr>
            <w:tcW w:w="3256" w:type="dxa"/>
          </w:tcPr>
          <w:p w14:paraId="5C1414F9" w14:textId="4829D931" w:rsidR="002D0F1E" w:rsidRPr="00037293" w:rsidRDefault="002D0F1E" w:rsidP="00381AA1">
            <w:pPr>
              <w:pStyle w:val="EYTableText"/>
            </w:pPr>
            <w:r w:rsidRPr="00037293">
              <w:t>Proportion of students with suspensions in Year 3 that met the Standard of Education Achievement (SEA) in Year 3 NAPLAN</w:t>
            </w:r>
          </w:p>
        </w:tc>
        <w:tc>
          <w:tcPr>
            <w:tcW w:w="995" w:type="dxa"/>
          </w:tcPr>
          <w:p w14:paraId="79F84110" w14:textId="1F0192F9" w:rsidR="002D0F1E" w:rsidRPr="00F36CF4" w:rsidRDefault="002D0F1E" w:rsidP="00381AA1">
            <w:pPr>
              <w:pStyle w:val="EYTableText"/>
            </w:pPr>
            <w:r w:rsidRPr="00F36CF4">
              <w:t>56.3%</w:t>
            </w:r>
          </w:p>
        </w:tc>
        <w:tc>
          <w:tcPr>
            <w:tcW w:w="4750" w:type="dxa"/>
            <w:vMerge w:val="restart"/>
          </w:tcPr>
          <w:p w14:paraId="6498E6E1" w14:textId="77777777" w:rsidR="002D0F1E" w:rsidRPr="00F36CF4" w:rsidRDefault="002D0F1E" w:rsidP="00381AA1">
            <w:pPr>
              <w:pStyle w:val="EYTableText"/>
            </w:pPr>
            <w:r w:rsidRPr="00F36CF4">
              <w:t xml:space="preserve">Graham et al., (2020). Inquiry into Suspension, Exclusion and Expulsion Processes in South Australian government schools: Final Report. The Centre for Inclusive Education, QUT: Brisbane, QLD. </w:t>
            </w:r>
          </w:p>
          <w:p w14:paraId="6F1561E9" w14:textId="17D13C25" w:rsidR="002D0F1E" w:rsidRPr="00F36CF4" w:rsidRDefault="002D0F1E" w:rsidP="00381AA1">
            <w:pPr>
              <w:pStyle w:val="EYTableText"/>
            </w:pPr>
            <w:r w:rsidRPr="00F36CF4">
              <w:lastRenderedPageBreak/>
              <w:t xml:space="preserve">Counts were derived by multiplying the number of students in QLD with </w:t>
            </w:r>
            <w:r>
              <w:t xml:space="preserve">NCCD </w:t>
            </w:r>
            <w:r w:rsidRPr="00F36CF4">
              <w:t xml:space="preserve">disability receiving suspensions with the </w:t>
            </w:r>
            <w:r>
              <w:t>proportion assumed to not achieve Year 9 NAPLAN SEA levels.</w:t>
            </w:r>
          </w:p>
        </w:tc>
      </w:tr>
      <w:tr w:rsidR="002D0F1E" w14:paraId="070C2C41" w14:textId="1F971381" w:rsidTr="007D656A">
        <w:tc>
          <w:tcPr>
            <w:tcW w:w="3256" w:type="dxa"/>
          </w:tcPr>
          <w:p w14:paraId="33B664E5" w14:textId="7B408759" w:rsidR="002D0F1E" w:rsidRPr="00037293" w:rsidRDefault="002D0F1E" w:rsidP="00381AA1">
            <w:pPr>
              <w:pStyle w:val="EYTableText"/>
            </w:pPr>
            <w:r w:rsidRPr="00037293">
              <w:lastRenderedPageBreak/>
              <w:t>Proportion of students with suspensions in Year 9 that met the SEA in Year 9 NAPLAN</w:t>
            </w:r>
          </w:p>
        </w:tc>
        <w:tc>
          <w:tcPr>
            <w:tcW w:w="995" w:type="dxa"/>
          </w:tcPr>
          <w:p w14:paraId="5ACBD9DE" w14:textId="52FC42BE" w:rsidR="002D0F1E" w:rsidRDefault="002D0F1E" w:rsidP="00381AA1">
            <w:pPr>
              <w:pStyle w:val="EYTableText"/>
            </w:pPr>
            <w:r>
              <w:t>36.6%</w:t>
            </w:r>
          </w:p>
        </w:tc>
        <w:tc>
          <w:tcPr>
            <w:tcW w:w="4750" w:type="dxa"/>
            <w:vMerge/>
          </w:tcPr>
          <w:p w14:paraId="01D40539" w14:textId="298E0EA4" w:rsidR="002D0F1E" w:rsidRPr="003B2FAD" w:rsidRDefault="002D0F1E" w:rsidP="00381AA1">
            <w:pPr>
              <w:pStyle w:val="EYTableText"/>
              <w:rPr>
                <w:sz w:val="14"/>
                <w:szCs w:val="14"/>
              </w:rPr>
            </w:pPr>
          </w:p>
        </w:tc>
      </w:tr>
      <w:tr w:rsidR="002D0F1E" w14:paraId="2EB18F07" w14:textId="0E0D7283" w:rsidTr="007D656A">
        <w:tc>
          <w:tcPr>
            <w:tcW w:w="3256" w:type="dxa"/>
          </w:tcPr>
          <w:p w14:paraId="790A6957" w14:textId="7316C4D8" w:rsidR="002D0F1E" w:rsidRPr="00037293" w:rsidRDefault="002D0F1E" w:rsidP="00381AA1">
            <w:pPr>
              <w:pStyle w:val="EYTableText"/>
            </w:pPr>
            <w:r w:rsidRPr="00037293">
              <w:t>Proportion of students scoring "Below Average" on NAPLAN in Year 9 who receive an ATAR less than 50</w:t>
            </w:r>
          </w:p>
        </w:tc>
        <w:tc>
          <w:tcPr>
            <w:tcW w:w="995" w:type="dxa"/>
          </w:tcPr>
          <w:p w14:paraId="5EF68066" w14:textId="68AAA0E2" w:rsidR="002D0F1E" w:rsidRDefault="002D0F1E" w:rsidP="00381AA1">
            <w:pPr>
              <w:pStyle w:val="EYTableText"/>
            </w:pPr>
            <w:r>
              <w:t>66.1%</w:t>
            </w:r>
          </w:p>
        </w:tc>
        <w:tc>
          <w:tcPr>
            <w:tcW w:w="4750" w:type="dxa"/>
            <w:vMerge/>
          </w:tcPr>
          <w:p w14:paraId="34EED5C5" w14:textId="49D47DF2" w:rsidR="002D0F1E" w:rsidRPr="003B2FAD" w:rsidRDefault="002D0F1E" w:rsidP="00381AA1">
            <w:pPr>
              <w:pStyle w:val="EYTableText"/>
              <w:rPr>
                <w:sz w:val="14"/>
                <w:szCs w:val="14"/>
              </w:rPr>
            </w:pPr>
          </w:p>
        </w:tc>
      </w:tr>
      <w:tr w:rsidR="002D0F1E" w14:paraId="7536CA83" w14:textId="77777777" w:rsidTr="007D656A">
        <w:tc>
          <w:tcPr>
            <w:tcW w:w="3256" w:type="dxa"/>
          </w:tcPr>
          <w:p w14:paraId="2556F344" w14:textId="275F2CFA" w:rsidR="002D0F1E" w:rsidRPr="00037293" w:rsidRDefault="002D0F1E" w:rsidP="00381AA1">
            <w:pPr>
              <w:pStyle w:val="EYTableText"/>
            </w:pPr>
            <w:r w:rsidRPr="00037293">
              <w:t>Proportion of students scoring "Weak" on NAPLAN in Year 9 who receive an ATAR less than 50</w:t>
            </w:r>
          </w:p>
        </w:tc>
        <w:tc>
          <w:tcPr>
            <w:tcW w:w="995" w:type="dxa"/>
          </w:tcPr>
          <w:p w14:paraId="13BF3CA4" w14:textId="197C515E" w:rsidR="002D0F1E" w:rsidRDefault="002D0F1E" w:rsidP="00381AA1">
            <w:pPr>
              <w:pStyle w:val="EYTableText"/>
            </w:pPr>
            <w:r>
              <w:t>89.7%</w:t>
            </w:r>
          </w:p>
        </w:tc>
        <w:tc>
          <w:tcPr>
            <w:tcW w:w="4750" w:type="dxa"/>
            <w:vMerge/>
          </w:tcPr>
          <w:p w14:paraId="2A861740" w14:textId="77F09AFB" w:rsidR="002D0F1E" w:rsidRPr="003B2FAD" w:rsidRDefault="002D0F1E" w:rsidP="00381AA1">
            <w:pPr>
              <w:pStyle w:val="EYTableText"/>
              <w:rPr>
                <w:sz w:val="14"/>
                <w:szCs w:val="14"/>
              </w:rPr>
            </w:pPr>
          </w:p>
        </w:tc>
      </w:tr>
    </w:tbl>
    <w:p w14:paraId="3ABC29D0" w14:textId="77777777" w:rsidR="00091A55" w:rsidRDefault="00091A55" w:rsidP="00091A55"/>
    <w:p w14:paraId="5FAF3EC2" w14:textId="77777777" w:rsidR="009B4BAD" w:rsidRDefault="009B4BAD" w:rsidP="00091A55"/>
    <w:p w14:paraId="1FEE061D" w14:textId="653DC30C" w:rsidR="008E759F" w:rsidRDefault="008E759F" w:rsidP="008E759F">
      <w:pPr>
        <w:pStyle w:val="EYAppendixHeading2"/>
      </w:pPr>
      <w:r>
        <w:t>Further details on calculation approach – Youth Justice costs</w:t>
      </w:r>
    </w:p>
    <w:p w14:paraId="4605B729" w14:textId="77777777" w:rsidR="00372872" w:rsidRDefault="00372872" w:rsidP="00372872">
      <w:pPr>
        <w:pStyle w:val="EYSubheading"/>
      </w:pPr>
      <w:r>
        <w:t>Overview</w:t>
      </w:r>
    </w:p>
    <w:p w14:paraId="56B0F342" w14:textId="77777777" w:rsidR="00372872" w:rsidRDefault="00372872" w:rsidP="00372872">
      <w:pPr>
        <w:pStyle w:val="EYBodytextwithparaspace"/>
      </w:pPr>
      <w:r>
        <w:t xml:space="preserve">Research from Queensland and other state jurisdictions show that young people with diagnosed or suspected disability, as well as young people with suspension history and school disengagement, are overrepresented in offending and Youth Justice populations. There is also extensive evidence to support the link between Youth Justice and Adult Justice involvement. </w:t>
      </w:r>
    </w:p>
    <w:p w14:paraId="64506C18" w14:textId="6A5EECD7" w:rsidR="00372872" w:rsidRDefault="00372872" w:rsidP="00372872">
      <w:pPr>
        <w:pStyle w:val="EYBodytextwithparaspace"/>
      </w:pPr>
      <w:r>
        <w:t xml:space="preserve">However, key challenges remain when trying to use the existing research to quantify the impact of student behavioural issues and school disengagement on subsequent Justice system interactions, including students with disabilities. In this situation suspensions are assumed to be a proxy indicator of behavioural and school disengagement issues. </w:t>
      </w:r>
    </w:p>
    <w:p w14:paraId="7C4FCA81" w14:textId="061D7D2C" w:rsidR="00372872" w:rsidRDefault="00372872" w:rsidP="00372872">
      <w:pPr>
        <w:pStyle w:val="EYSubheading"/>
      </w:pPr>
      <w:r>
        <w:t>Calculation approach</w:t>
      </w:r>
      <w:r w:rsidR="00704BE1">
        <w:t xml:space="preserve"> – Increased number of students with disability who have Youth Justice detentions </w:t>
      </w:r>
      <w:r w:rsidR="0040352E">
        <w:t xml:space="preserve">and Youth Justice supervision orders </w:t>
      </w:r>
      <w:r w:rsidR="00704BE1">
        <w:t>by age 18 associated with their suspension history</w:t>
      </w:r>
    </w:p>
    <w:p w14:paraId="08CFB6AC" w14:textId="5B27BB58" w:rsidR="00A048D0" w:rsidRDefault="00372872" w:rsidP="00B40DC5">
      <w:pPr>
        <w:pStyle w:val="EYBodytextwithparaspace"/>
      </w:pPr>
      <w:r>
        <w:t xml:space="preserve">Youth Justice involvement for Queensland students with disability and suspensions up to age 18 has been estimated on the basis outlined </w:t>
      </w:r>
      <w:r w:rsidR="00704BE1">
        <w:t>below</w:t>
      </w:r>
      <w:r>
        <w:t>.</w:t>
      </w:r>
      <w:r w:rsidR="00B40DC5">
        <w:t xml:space="preserve"> </w:t>
      </w:r>
      <w:r w:rsidR="00A048D0" w:rsidRPr="00A048D0">
        <w:t xml:space="preserve">We have focused on Youth Justice detention and supervision order costs to determine the </w:t>
      </w:r>
      <w:proofErr w:type="gramStart"/>
      <w:r w:rsidR="00A048D0" w:rsidRPr="00A048D0">
        <w:t>short term</w:t>
      </w:r>
      <w:proofErr w:type="gramEnd"/>
      <w:r w:rsidR="00A048D0" w:rsidRPr="00A048D0">
        <w:t xml:space="preserve"> costs associated with students with disability and suspensions who become involved with offending, as these are likely to represent the largest component of offending related </w:t>
      </w:r>
      <w:r w:rsidR="00793E60">
        <w:t xml:space="preserve">economic </w:t>
      </w:r>
      <w:r w:rsidR="00A048D0" w:rsidRPr="00A048D0">
        <w:t>costs. We acknowledge there are also broader costs associated with youth crime to Courts, Police and the community.</w:t>
      </w:r>
    </w:p>
    <w:p w14:paraId="50C59ABA" w14:textId="7544901C" w:rsidR="00AC4DC6" w:rsidRPr="00754B11" w:rsidRDefault="00754B11" w:rsidP="00754B11">
      <w:pPr>
        <w:pStyle w:val="EYBodytextwithparaspace"/>
        <w:numPr>
          <w:ilvl w:val="0"/>
          <w:numId w:val="43"/>
        </w:numPr>
        <w:rPr>
          <w:b/>
          <w:bCs/>
        </w:rPr>
      </w:pPr>
      <w:r w:rsidRPr="00754B11">
        <w:rPr>
          <w:b/>
          <w:bCs/>
        </w:rPr>
        <w:t>Estimate the proportion of Queensland students with NCCD disabilities who have offending contact by age 18</w:t>
      </w:r>
    </w:p>
    <w:p w14:paraId="7CCECAD1" w14:textId="77777777" w:rsidR="00AC4DC6" w:rsidRDefault="00AC4DC6" w:rsidP="00754B11">
      <w:pPr>
        <w:pStyle w:val="EYBodytextwithparaspace"/>
        <w:ind w:left="360"/>
      </w:pPr>
      <w:r>
        <w:t>The NSW NDDA Youth Justice pilot study was the main data source for these estimates, as the only birth cohort study which identifies Justice system contact rates for young people with disability.</w:t>
      </w:r>
    </w:p>
    <w:p w14:paraId="2447BB79" w14:textId="77777777" w:rsidR="00AC4DC6" w:rsidRDefault="00AC4DC6" w:rsidP="00754B11">
      <w:pPr>
        <w:pStyle w:val="EYBodytextwithparaspace"/>
        <w:ind w:left="360"/>
      </w:pPr>
      <w:r>
        <w:t xml:space="preserve">The NDDA study relates to a narrow disability cohort (3.5% of the birth cohort population) and there is no data available to assess the extent to which the Queensland NCCD cohort (a much larger cohort representing 20% of the student population) profile is similar or different, e.g. by disability types or severity. This means it is challenging to extrapolate the NDDA study’s findings to </w:t>
      </w:r>
      <w:proofErr w:type="gramStart"/>
      <w:r>
        <w:t>all of</w:t>
      </w:r>
      <w:proofErr w:type="gramEnd"/>
      <w:r>
        <w:t xml:space="preserve"> the NCCD cohort. </w:t>
      </w:r>
    </w:p>
    <w:p w14:paraId="421583B5" w14:textId="6EEFDB0F" w:rsidR="00B4779C" w:rsidRDefault="00AC4DC6" w:rsidP="00754B11">
      <w:pPr>
        <w:pStyle w:val="EYBodytextwithparaspace"/>
        <w:ind w:left="360"/>
      </w:pPr>
      <w:r>
        <w:t xml:space="preserve">To reflect these population </w:t>
      </w:r>
      <w:proofErr w:type="gramStart"/>
      <w:r>
        <w:t>differences</w:t>
      </w:r>
      <w:proofErr w:type="gramEnd"/>
      <w:r>
        <w:t xml:space="preserve"> we have applied the NDDA study’s disability cohort offending and YJ involvement rates to a comparable subset of the Queensland NCCD student cohort (3.5% out of the 20.3% with NCCD disabilities) and have applied general population offending and YJ involvement rates to all other students in the NCCD cohort.</w:t>
      </w:r>
    </w:p>
    <w:p w14:paraId="1D6A3FF4" w14:textId="5720F70D" w:rsidR="00496618" w:rsidRDefault="00496618" w:rsidP="00754B11">
      <w:pPr>
        <w:pStyle w:val="EYBodytextwithparaspace"/>
        <w:ind w:left="360"/>
      </w:pPr>
      <w:r w:rsidRPr="00496618">
        <w:rPr>
          <w:noProof/>
        </w:rPr>
        <w:lastRenderedPageBreak/>
        <w:drawing>
          <wp:inline distT="0" distB="0" distL="0" distR="0" wp14:anchorId="58B6F13B" wp14:editId="4D035E74">
            <wp:extent cx="4368800" cy="274423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5316"/>
                    <a:stretch/>
                  </pic:blipFill>
                  <pic:spPr bwMode="auto">
                    <a:xfrm>
                      <a:off x="0" y="0"/>
                      <a:ext cx="4375120" cy="2748204"/>
                    </a:xfrm>
                    <a:prstGeom prst="rect">
                      <a:avLst/>
                    </a:prstGeom>
                    <a:noFill/>
                    <a:ln>
                      <a:noFill/>
                    </a:ln>
                    <a:extLst>
                      <a:ext uri="{53640926-AAD7-44D8-BBD7-CCE9431645EC}">
                        <a14:shadowObscured xmlns:a14="http://schemas.microsoft.com/office/drawing/2010/main"/>
                      </a:ext>
                    </a:extLst>
                  </pic:spPr>
                </pic:pic>
              </a:graphicData>
            </a:graphic>
          </wp:inline>
        </w:drawing>
      </w:r>
    </w:p>
    <w:p w14:paraId="462F2002" w14:textId="7FFB8831" w:rsidR="00496618" w:rsidRPr="00754B11" w:rsidRDefault="00496618" w:rsidP="00496618">
      <w:pPr>
        <w:pStyle w:val="EYBodytextwithparaspace"/>
        <w:numPr>
          <w:ilvl w:val="0"/>
          <w:numId w:val="43"/>
        </w:numPr>
        <w:rPr>
          <w:b/>
          <w:bCs/>
        </w:rPr>
      </w:pPr>
      <w:r w:rsidRPr="00754B11">
        <w:rPr>
          <w:b/>
          <w:bCs/>
        </w:rPr>
        <w:t xml:space="preserve">Estimate the proportion of Queensland students with NCCD disabilities who have </w:t>
      </w:r>
      <w:r w:rsidR="00266DB2">
        <w:rPr>
          <w:b/>
          <w:bCs/>
        </w:rPr>
        <w:t xml:space="preserve">Youth Justice detention history </w:t>
      </w:r>
      <w:r w:rsidRPr="00754B11">
        <w:rPr>
          <w:b/>
          <w:bCs/>
        </w:rPr>
        <w:t>by age 18</w:t>
      </w:r>
    </w:p>
    <w:p w14:paraId="41B88FD6" w14:textId="55AB8692" w:rsidR="008E759F" w:rsidRDefault="002A10C1" w:rsidP="00266DB2">
      <w:pPr>
        <w:autoSpaceDE/>
        <w:autoSpaceDN/>
        <w:adjustRightInd/>
        <w:ind w:left="360"/>
      </w:pPr>
      <w:r w:rsidRPr="002A10C1">
        <w:rPr>
          <w:noProof/>
        </w:rPr>
        <w:drawing>
          <wp:inline distT="0" distB="0" distL="0" distR="0" wp14:anchorId="47F61FA1" wp14:editId="056D727C">
            <wp:extent cx="5560945" cy="3113590"/>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568052" cy="3117569"/>
                    </a:xfrm>
                    <a:prstGeom prst="rect">
                      <a:avLst/>
                    </a:prstGeom>
                    <a:noFill/>
                    <a:ln>
                      <a:noFill/>
                    </a:ln>
                  </pic:spPr>
                </pic:pic>
              </a:graphicData>
            </a:graphic>
          </wp:inline>
        </w:drawing>
      </w:r>
    </w:p>
    <w:p w14:paraId="1E4439AA" w14:textId="77777777" w:rsidR="00266DB2" w:rsidRDefault="00266DB2">
      <w:pPr>
        <w:autoSpaceDE/>
        <w:autoSpaceDN/>
        <w:adjustRightInd/>
      </w:pPr>
    </w:p>
    <w:p w14:paraId="75DEAD3A" w14:textId="4783E066" w:rsidR="003636DB" w:rsidRPr="003636DB" w:rsidRDefault="003636DB" w:rsidP="003636DB">
      <w:pPr>
        <w:pStyle w:val="EYBodytextwithparaspace"/>
        <w:numPr>
          <w:ilvl w:val="0"/>
          <w:numId w:val="43"/>
        </w:numPr>
        <w:rPr>
          <w:b/>
          <w:bCs/>
        </w:rPr>
      </w:pPr>
      <w:r w:rsidRPr="003636DB">
        <w:rPr>
          <w:b/>
          <w:bCs/>
        </w:rPr>
        <w:t>Estimate the difference in rates of offending involvement between young people with disability who have ever been suspended by age 18, and those who have never been suspended</w:t>
      </w:r>
      <w:r w:rsidR="00BD4F88">
        <w:rPr>
          <w:b/>
          <w:bCs/>
        </w:rPr>
        <w:t>. This is assumed to be 100% attributable to suspension and school disengagement.</w:t>
      </w:r>
    </w:p>
    <w:p w14:paraId="7AA87B6F" w14:textId="68FC7080" w:rsidR="003636DB" w:rsidRDefault="003636DB" w:rsidP="003636DB">
      <w:pPr>
        <w:pStyle w:val="EYBodytextwithparaspace"/>
        <w:ind w:left="360"/>
      </w:pPr>
      <w:r>
        <w:t>Proportion of young people who have ever been suspended by age 18: 26%, from NDIA Baseline participant ages 0-14 outcomes report (2020)</w:t>
      </w:r>
      <w:r w:rsidR="008C5E5A">
        <w:t>.</w:t>
      </w:r>
    </w:p>
    <w:p w14:paraId="6507E908" w14:textId="2C944AC9" w:rsidR="003636DB" w:rsidRDefault="003636DB" w:rsidP="003636DB">
      <w:pPr>
        <w:pStyle w:val="EYBodytextwithparaspace"/>
        <w:ind w:left="360"/>
      </w:pPr>
      <w:r>
        <w:t>Likelihood of young people with suspensions having offending contact, relative to other young people without suspensions: estimated as 1.5–2x, based on Australian studies which found that (i) children with school suspensions were associated with a 1.5x likelihood of ‘antisocial behaviour’ and (ii) “children with teacher-identified emotional or behavioural problems at school entry had an incidence rate of police contact that was twice that of children without such problems”.</w:t>
      </w:r>
    </w:p>
    <w:p w14:paraId="41301D21" w14:textId="5E503E8E" w:rsidR="006E66A5" w:rsidRPr="006E66A5" w:rsidRDefault="006E66A5" w:rsidP="006E66A5">
      <w:pPr>
        <w:pStyle w:val="EYBodytextwithparaspace"/>
        <w:numPr>
          <w:ilvl w:val="0"/>
          <w:numId w:val="43"/>
        </w:numPr>
        <w:rPr>
          <w:b/>
          <w:bCs/>
        </w:rPr>
      </w:pPr>
      <w:r w:rsidRPr="006E66A5">
        <w:rPr>
          <w:b/>
          <w:bCs/>
        </w:rPr>
        <w:lastRenderedPageBreak/>
        <w:t>Estimate the difference in rates of YJ detention involvement between young people with disability who have ever been suspended by age 18, and those who have never been suspended</w:t>
      </w:r>
    </w:p>
    <w:p w14:paraId="5E263B54" w14:textId="6B2F1DCC" w:rsidR="006E66A5" w:rsidRDefault="00623B95" w:rsidP="003636DB">
      <w:pPr>
        <w:pStyle w:val="EYBodytextwithparaspace"/>
        <w:ind w:left="360"/>
      </w:pPr>
      <w:r w:rsidRPr="00623B95">
        <w:t>Based on the proportion of students with NCCD disabilities and offending history (from (b)) multiplied by the proportion assumed to also have YJ detention history (18.1%)</w:t>
      </w:r>
      <w:r>
        <w:t>.</w:t>
      </w:r>
    </w:p>
    <w:p w14:paraId="02873A44" w14:textId="39EDAE12" w:rsidR="00623B95" w:rsidRDefault="008D40AE" w:rsidP="00623B95">
      <w:pPr>
        <w:pStyle w:val="EYBodytextwithparaspace"/>
        <w:ind w:left="360"/>
      </w:pPr>
      <w:r w:rsidRPr="008D40AE">
        <w:rPr>
          <w:noProof/>
        </w:rPr>
        <w:drawing>
          <wp:inline distT="0" distB="0" distL="0" distR="0" wp14:anchorId="264151E4" wp14:editId="4F77FDCA">
            <wp:extent cx="4652432" cy="30325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72813" cy="3045852"/>
                    </a:xfrm>
                    <a:prstGeom prst="rect">
                      <a:avLst/>
                    </a:prstGeom>
                    <a:noFill/>
                    <a:ln>
                      <a:noFill/>
                    </a:ln>
                  </pic:spPr>
                </pic:pic>
              </a:graphicData>
            </a:graphic>
          </wp:inline>
        </w:drawing>
      </w:r>
    </w:p>
    <w:p w14:paraId="1B22AF11" w14:textId="160F9FA9" w:rsidR="00CF6588" w:rsidRPr="006E66A5" w:rsidRDefault="00CF6588" w:rsidP="00CF6588">
      <w:pPr>
        <w:pStyle w:val="EYBodytextwithparaspace"/>
        <w:numPr>
          <w:ilvl w:val="0"/>
          <w:numId w:val="43"/>
        </w:numPr>
        <w:rPr>
          <w:b/>
          <w:bCs/>
        </w:rPr>
      </w:pPr>
      <w:r w:rsidRPr="006E66A5">
        <w:rPr>
          <w:b/>
          <w:bCs/>
        </w:rPr>
        <w:t xml:space="preserve">Estimate the difference in rates of YJ </w:t>
      </w:r>
      <w:r>
        <w:rPr>
          <w:b/>
          <w:bCs/>
        </w:rPr>
        <w:t>supervision order</w:t>
      </w:r>
      <w:r w:rsidRPr="006E66A5">
        <w:rPr>
          <w:b/>
          <w:bCs/>
        </w:rPr>
        <w:t xml:space="preserve"> involvement between young people with disability who have ever been suspended by age 18, and those who have never been suspended</w:t>
      </w:r>
    </w:p>
    <w:p w14:paraId="1CA2CD8F" w14:textId="474C6135" w:rsidR="00CF6588" w:rsidRDefault="008D6CE1" w:rsidP="00CF6588">
      <w:pPr>
        <w:pStyle w:val="EYBodytextwithparaspace"/>
        <w:ind w:left="360"/>
      </w:pPr>
      <w:r>
        <w:t xml:space="preserve">Based on the ratio of </w:t>
      </w:r>
      <w:r w:rsidR="00B460A0">
        <w:t xml:space="preserve">Queensland </w:t>
      </w:r>
      <w:r>
        <w:t xml:space="preserve">young people under supervision </w:t>
      </w:r>
      <w:r w:rsidR="00B460A0">
        <w:t xml:space="preserve">relative to the number of young people in detention </w:t>
      </w:r>
      <w:r w:rsidR="00E635D6">
        <w:t>over the 2020-21 reporting year</w:t>
      </w:r>
      <w:r w:rsidR="008A0CBB">
        <w:t>, i.e. for every young person in detention at some point over the year there are 1.</w:t>
      </w:r>
      <w:r w:rsidR="0079102B">
        <w:t>8</w:t>
      </w:r>
      <w:r w:rsidR="008A0CBB">
        <w:t xml:space="preserve"> young people under supervision orders over the same period.</w:t>
      </w:r>
      <w:r w:rsidR="0079102B">
        <w:t xml:space="preserve"> </w:t>
      </w:r>
      <w:r w:rsidR="0079102B" w:rsidRPr="0079102B">
        <w:t>Note there will be some overlap from young people involved in both supervision and detention orders over a year.</w:t>
      </w:r>
    </w:p>
    <w:p w14:paraId="1AC4ECD2" w14:textId="25DB4294" w:rsidR="00087C3E" w:rsidRDefault="002A10C1" w:rsidP="00060765">
      <w:pPr>
        <w:pStyle w:val="EYBodytextwithparaspace"/>
        <w:ind w:left="360"/>
      </w:pPr>
      <w:r w:rsidRPr="002A10C1">
        <w:rPr>
          <w:noProof/>
        </w:rPr>
        <w:drawing>
          <wp:inline distT="0" distB="0" distL="0" distR="0" wp14:anchorId="6B2212B0" wp14:editId="1BF4A12A">
            <wp:extent cx="4363656" cy="150537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90404" cy="1514600"/>
                    </a:xfrm>
                    <a:prstGeom prst="rect">
                      <a:avLst/>
                    </a:prstGeom>
                    <a:noFill/>
                    <a:ln>
                      <a:noFill/>
                    </a:ln>
                  </pic:spPr>
                </pic:pic>
              </a:graphicData>
            </a:graphic>
          </wp:inline>
        </w:drawing>
      </w:r>
    </w:p>
    <w:p w14:paraId="2FD0399C" w14:textId="77777777" w:rsidR="001256BB" w:rsidRDefault="001256BB">
      <w:pPr>
        <w:autoSpaceDE/>
        <w:autoSpaceDN/>
        <w:adjustRightInd/>
        <w:rPr>
          <w:b/>
          <w:kern w:val="12"/>
          <w:szCs w:val="24"/>
          <w:lang w:eastAsia="en-AU"/>
        </w:rPr>
      </w:pPr>
      <w:r>
        <w:br w:type="page"/>
      </w:r>
    </w:p>
    <w:p w14:paraId="2D2ADA44" w14:textId="18527E9E" w:rsidR="0040352E" w:rsidRDefault="0040352E" w:rsidP="0040352E">
      <w:pPr>
        <w:pStyle w:val="EYSubheading"/>
      </w:pPr>
      <w:r>
        <w:lastRenderedPageBreak/>
        <w:t>Calculation approach – Estimated costs per year associated with increased number of students with disability who have Youth Justice detentions and Youth Justice supervision orders associated with their suspension history</w:t>
      </w:r>
    </w:p>
    <w:p w14:paraId="5DE40650" w14:textId="5CE45928" w:rsidR="002F2572" w:rsidRDefault="002F2572" w:rsidP="002F2572">
      <w:pPr>
        <w:pStyle w:val="EYBodytextwithparaspace"/>
      </w:pPr>
      <w:r>
        <w:t xml:space="preserve">The cost of Youth Justice </w:t>
      </w:r>
      <w:r w:rsidR="008F58E3">
        <w:t xml:space="preserve">detention </w:t>
      </w:r>
      <w:r>
        <w:t xml:space="preserve">involvement for Queensland students with disability and suspensions </w:t>
      </w:r>
      <w:proofErr w:type="gramStart"/>
      <w:r w:rsidR="007B2D38">
        <w:t>in a given year</w:t>
      </w:r>
      <w:proofErr w:type="gramEnd"/>
      <w:r w:rsidR="007B2D38">
        <w:t xml:space="preserve"> </w:t>
      </w:r>
      <w:r>
        <w:t>has been estimated on the basis outlined below.</w:t>
      </w:r>
    </w:p>
    <w:p w14:paraId="32244D67" w14:textId="4B58785C" w:rsidR="002F2572" w:rsidRDefault="00D3718A" w:rsidP="002F2572">
      <w:pPr>
        <w:pStyle w:val="EYBulletnoparaspace"/>
      </w:pPr>
      <w:r>
        <w:t>Increased n</w:t>
      </w:r>
      <w:r w:rsidR="002F2572">
        <w:t xml:space="preserve">umber of students with NCCD disabilities suspended </w:t>
      </w:r>
      <w:proofErr w:type="gramStart"/>
      <w:r w:rsidR="002F2572">
        <w:t>in a given year</w:t>
      </w:r>
      <w:proofErr w:type="gramEnd"/>
      <w:r w:rsidR="002F2572">
        <w:t xml:space="preserve"> who are estimated to have YJ detention contact by age 18 (over and above the estimated number for students with disabilities but no suspensions) – 91 to 163</w:t>
      </w:r>
      <w:r>
        <w:t xml:space="preserve"> (0.6-1.0% as estimated in step (d) above)</w:t>
      </w:r>
    </w:p>
    <w:p w14:paraId="35BA416F" w14:textId="77777777" w:rsidR="002F2572" w:rsidRDefault="002F2572" w:rsidP="002F2572">
      <w:pPr>
        <w:pStyle w:val="EYBulletnoparaspace"/>
      </w:pPr>
      <w:r>
        <w:t>Number of students with NCCD disabilities who are in the Youth Justice age range in the year of their suspension (assumed to be ages 14-17) – 43 to 76</w:t>
      </w:r>
    </w:p>
    <w:p w14:paraId="456D1112" w14:textId="0EF94D4C" w:rsidR="002F2572" w:rsidRDefault="002F2572" w:rsidP="002F2572">
      <w:pPr>
        <w:pStyle w:val="EYBulletnoparaspace"/>
      </w:pPr>
      <w:r>
        <w:t xml:space="preserve">Estimated total YJ detention costs up to age 18 per young person with NCCD disabilities, suspensions and YJ detention involvement - </w:t>
      </w:r>
      <w:r w:rsidR="00EB1E5C" w:rsidRPr="00EB1E5C">
        <w:t>$382,900 (2023-24 levels)</w:t>
      </w:r>
    </w:p>
    <w:p w14:paraId="24495ABD" w14:textId="7076255C" w:rsidR="0040352E" w:rsidRDefault="002F2572" w:rsidP="002F2572">
      <w:pPr>
        <w:pStyle w:val="EYBulletnoparaspace"/>
      </w:pPr>
      <w:r>
        <w:t xml:space="preserve">Estimated annual YJ detention costs associated with young people with NCCD disabilities who are suspended </w:t>
      </w:r>
      <w:proofErr w:type="gramStart"/>
      <w:r>
        <w:t>in a given year</w:t>
      </w:r>
      <w:proofErr w:type="gramEnd"/>
      <w:r>
        <w:t xml:space="preserve"> - $</w:t>
      </w:r>
      <w:r w:rsidR="00EB1E5C">
        <w:t>4</w:t>
      </w:r>
      <w:r>
        <w:t>.</w:t>
      </w:r>
      <w:r w:rsidR="00EB1E5C">
        <w:t>1</w:t>
      </w:r>
      <w:r>
        <w:t xml:space="preserve"> - </w:t>
      </w:r>
      <w:r w:rsidR="00EB1E5C">
        <w:t>7</w:t>
      </w:r>
      <w:r>
        <w:t>.</w:t>
      </w:r>
      <w:r w:rsidR="00EB1E5C">
        <w:t>4</w:t>
      </w:r>
      <w:r>
        <w:t>m (2023-24 levels)</w:t>
      </w:r>
    </w:p>
    <w:p w14:paraId="7AB15C13" w14:textId="0F5A62EB" w:rsidR="00E91953" w:rsidRDefault="00E91953" w:rsidP="002F2572">
      <w:pPr>
        <w:pStyle w:val="EYBodytextwithparaspace"/>
      </w:pPr>
      <w:r w:rsidRPr="00E91953">
        <w:rPr>
          <w:noProof/>
        </w:rPr>
        <w:drawing>
          <wp:inline distT="0" distB="0" distL="0" distR="0" wp14:anchorId="6179D70D" wp14:editId="63B55BCF">
            <wp:extent cx="5733415" cy="1456690"/>
            <wp:effectExtent l="0" t="0" r="63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3415" cy="1456690"/>
                    </a:xfrm>
                    <a:prstGeom prst="rect">
                      <a:avLst/>
                    </a:prstGeom>
                    <a:noFill/>
                    <a:ln>
                      <a:noFill/>
                    </a:ln>
                  </pic:spPr>
                </pic:pic>
              </a:graphicData>
            </a:graphic>
          </wp:inline>
        </w:drawing>
      </w:r>
    </w:p>
    <w:p w14:paraId="55BC3D06" w14:textId="2DA1F9BD" w:rsidR="008F58E3" w:rsidRDefault="008F58E3" w:rsidP="008F58E3">
      <w:pPr>
        <w:pStyle w:val="EYBodytextwithparaspace"/>
      </w:pPr>
      <w:r>
        <w:t xml:space="preserve">The cost of Youth Justice supervision order involvement for Queensland students with disability and suspensions </w:t>
      </w:r>
      <w:proofErr w:type="gramStart"/>
      <w:r w:rsidR="007B2D38">
        <w:t>in a given year</w:t>
      </w:r>
      <w:proofErr w:type="gramEnd"/>
      <w:r w:rsidR="007B2D38">
        <w:t xml:space="preserve"> </w:t>
      </w:r>
      <w:r>
        <w:t>has been estimated on the basis outlined below.</w:t>
      </w:r>
    </w:p>
    <w:p w14:paraId="317DFAB4" w14:textId="19D6C349" w:rsidR="008F58E3" w:rsidRDefault="008F58E3" w:rsidP="008F58E3">
      <w:pPr>
        <w:pStyle w:val="EYBulletnoparaspace"/>
      </w:pPr>
      <w:r>
        <w:t xml:space="preserve">Increased number of students with NCCD disabilities suspended </w:t>
      </w:r>
      <w:proofErr w:type="gramStart"/>
      <w:r>
        <w:t>in a given year</w:t>
      </w:r>
      <w:proofErr w:type="gramEnd"/>
      <w:r>
        <w:t xml:space="preserve"> who are estimated to have YJ supervision order(s) by age 18 (over and above the estimated number for students with disabilities but no suspensions) – 174 to 312 (1.0-1.9% as estimated in step (e) above)</w:t>
      </w:r>
    </w:p>
    <w:p w14:paraId="490797F8" w14:textId="3AB41404" w:rsidR="008F58E3" w:rsidRDefault="008F58E3" w:rsidP="008F58E3">
      <w:pPr>
        <w:pStyle w:val="EYBulletnoparaspace"/>
      </w:pPr>
      <w:r>
        <w:t>Number of students with NCCD disabilities who are in the Youth Justice age range in the year of their suspension (assumed to be ages 14-17) – 83 to 148</w:t>
      </w:r>
    </w:p>
    <w:p w14:paraId="435DD0FF" w14:textId="204AB22A" w:rsidR="008F58E3" w:rsidRDefault="008F58E3" w:rsidP="008F58E3">
      <w:pPr>
        <w:pStyle w:val="EYBulletnoparaspace"/>
      </w:pPr>
      <w:r>
        <w:t xml:space="preserve">Estimated total YJ supervision order costs up to age 18 per young person with NCCD disabilities, suspensions and YJ </w:t>
      </w:r>
      <w:r w:rsidR="0031626A">
        <w:t>supervision order</w:t>
      </w:r>
      <w:r>
        <w:t xml:space="preserve"> involvement - $</w:t>
      </w:r>
      <w:r w:rsidR="0031626A">
        <w:t>73,177</w:t>
      </w:r>
      <w:r>
        <w:t xml:space="preserve"> (2023-24 levels)</w:t>
      </w:r>
    </w:p>
    <w:p w14:paraId="0127A08E" w14:textId="0EDB1D19" w:rsidR="008F58E3" w:rsidRDefault="008F58E3" w:rsidP="008F58E3">
      <w:pPr>
        <w:pStyle w:val="EYBulletnoparaspace"/>
      </w:pPr>
      <w:r>
        <w:t xml:space="preserve">Estimated annual YJ </w:t>
      </w:r>
      <w:r w:rsidR="001F5DB4">
        <w:t xml:space="preserve">supervision order </w:t>
      </w:r>
      <w:r>
        <w:t xml:space="preserve">costs associated with young people with NCCD disabilities who are suspended </w:t>
      </w:r>
      <w:proofErr w:type="gramStart"/>
      <w:r>
        <w:t>in a given year</w:t>
      </w:r>
      <w:proofErr w:type="gramEnd"/>
      <w:r>
        <w:t xml:space="preserve"> - $</w:t>
      </w:r>
      <w:r w:rsidR="001F5DB4">
        <w:t>1.4</w:t>
      </w:r>
      <w:r>
        <w:t xml:space="preserve"> </w:t>
      </w:r>
      <w:r w:rsidR="001F5DB4">
        <w:t>–</w:t>
      </w:r>
      <w:r>
        <w:t xml:space="preserve"> </w:t>
      </w:r>
      <w:r w:rsidR="001F5DB4">
        <w:t>2.</w:t>
      </w:r>
      <w:r w:rsidR="00EB1E5C">
        <w:t>6</w:t>
      </w:r>
      <w:r>
        <w:t>m (2023-24 levels)</w:t>
      </w:r>
    </w:p>
    <w:p w14:paraId="220EA98B" w14:textId="749B3270" w:rsidR="0089782F" w:rsidRDefault="006354D5" w:rsidP="002F2572">
      <w:pPr>
        <w:pStyle w:val="EYBodytextwithparaspace"/>
      </w:pPr>
      <w:r w:rsidRPr="006354D5">
        <w:rPr>
          <w:noProof/>
        </w:rPr>
        <w:drawing>
          <wp:inline distT="0" distB="0" distL="0" distR="0" wp14:anchorId="7CFE5391" wp14:editId="1D0A2B10">
            <wp:extent cx="5733415" cy="1456690"/>
            <wp:effectExtent l="0" t="0" r="63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33415" cy="1456690"/>
                    </a:xfrm>
                    <a:prstGeom prst="rect">
                      <a:avLst/>
                    </a:prstGeom>
                    <a:noFill/>
                    <a:ln>
                      <a:noFill/>
                    </a:ln>
                  </pic:spPr>
                </pic:pic>
              </a:graphicData>
            </a:graphic>
          </wp:inline>
        </w:drawing>
      </w:r>
    </w:p>
    <w:p w14:paraId="477B1817" w14:textId="77777777" w:rsidR="001346BC" w:rsidRDefault="001346BC" w:rsidP="002F2572">
      <w:pPr>
        <w:pStyle w:val="EYBodytextwithparaspace"/>
      </w:pPr>
    </w:p>
    <w:p w14:paraId="17D8AAD4" w14:textId="471C20E6" w:rsidR="001346BC" w:rsidRDefault="001346BC" w:rsidP="001346BC">
      <w:pPr>
        <w:pStyle w:val="EYAppendixHeading2"/>
      </w:pPr>
      <w:r>
        <w:lastRenderedPageBreak/>
        <w:t>Further details on calculation approach – Other short-term impacts</w:t>
      </w:r>
    </w:p>
    <w:p w14:paraId="709B55D1" w14:textId="14ABC8D2" w:rsidR="004B57B9" w:rsidRDefault="004B57B9" w:rsidP="002F2572">
      <w:pPr>
        <w:pStyle w:val="EYBodytextwithparaspace"/>
      </w:pPr>
      <w:r w:rsidRPr="004B57B9">
        <w:t>The figure below outlines the calculation approach used to estimate short term costs to parents and carer</w:t>
      </w:r>
      <w:r>
        <w:t xml:space="preserve">, and </w:t>
      </w:r>
      <w:r w:rsidRPr="004B57B9">
        <w:t>the opportunity costs associated with teacher time spent addressing student behaviour rather than classroom instruction</w:t>
      </w:r>
      <w:r>
        <w:t>.</w:t>
      </w:r>
    </w:p>
    <w:p w14:paraId="453831BB" w14:textId="0B2DA18D" w:rsidR="001346BC" w:rsidRDefault="001346BC" w:rsidP="002F2572">
      <w:pPr>
        <w:pStyle w:val="EYBodytextwithparaspace"/>
      </w:pPr>
      <w:r w:rsidRPr="001346BC">
        <w:rPr>
          <w:noProof/>
        </w:rPr>
        <w:drawing>
          <wp:inline distT="0" distB="0" distL="0" distR="0" wp14:anchorId="2AA10BB5" wp14:editId="57A827A2">
            <wp:extent cx="5761355" cy="167195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1355" cy="1671955"/>
                    </a:xfrm>
                    <a:prstGeom prst="rect">
                      <a:avLst/>
                    </a:prstGeom>
                    <a:noFill/>
                    <a:ln>
                      <a:noFill/>
                    </a:ln>
                  </pic:spPr>
                </pic:pic>
              </a:graphicData>
            </a:graphic>
          </wp:inline>
        </w:drawing>
      </w:r>
    </w:p>
    <w:p w14:paraId="6AAB5D3B" w14:textId="72A1FDFF" w:rsidR="009B4BAD" w:rsidRDefault="009B4BAD" w:rsidP="002F2572">
      <w:pPr>
        <w:pStyle w:val="EYBodytextwithparaspace"/>
      </w:pPr>
      <w:r w:rsidRPr="009B4BAD">
        <w:rPr>
          <w:noProof/>
        </w:rPr>
        <w:drawing>
          <wp:inline distT="0" distB="0" distL="0" distR="0" wp14:anchorId="2C03ED90" wp14:editId="5CEFD7A2">
            <wp:extent cx="4671092" cy="983849"/>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747027" cy="999843"/>
                    </a:xfrm>
                    <a:prstGeom prst="rect">
                      <a:avLst/>
                    </a:prstGeom>
                    <a:noFill/>
                    <a:ln>
                      <a:noFill/>
                    </a:ln>
                  </pic:spPr>
                </pic:pic>
              </a:graphicData>
            </a:graphic>
          </wp:inline>
        </w:drawing>
      </w:r>
    </w:p>
    <w:p w14:paraId="2D7DCA39" w14:textId="2787CDC7" w:rsidR="00186115" w:rsidRDefault="00AA79A8">
      <w:pPr>
        <w:autoSpaceDE/>
        <w:autoSpaceDN/>
        <w:adjustRightInd/>
      </w:pPr>
      <w:r>
        <w:br w:type="page"/>
      </w:r>
    </w:p>
    <w:p w14:paraId="68685442" w14:textId="35F3FBF6" w:rsidR="005A6E99" w:rsidRDefault="00BB11DD" w:rsidP="002D0F1E">
      <w:pPr>
        <w:pStyle w:val="EYAppendix"/>
      </w:pPr>
      <w:bookmarkStart w:id="20" w:name="_Ref158126715"/>
      <w:bookmarkStart w:id="21" w:name="_Toc165390914"/>
      <w:r>
        <w:lastRenderedPageBreak/>
        <w:t>Long</w:t>
      </w:r>
      <w:r w:rsidR="00843D0B">
        <w:t>-</w:t>
      </w:r>
      <w:r>
        <w:t>term impacts</w:t>
      </w:r>
      <w:bookmarkEnd w:id="20"/>
      <w:bookmarkEnd w:id="21"/>
    </w:p>
    <w:tbl>
      <w:tblPr>
        <w:tblStyle w:val="TableGrid"/>
        <w:tblW w:w="4990" w:type="pct"/>
        <w:tblLayout w:type="fixed"/>
        <w:tblLook w:val="04A0" w:firstRow="1" w:lastRow="0" w:firstColumn="1" w:lastColumn="0" w:noHBand="0" w:noVBand="1"/>
      </w:tblPr>
      <w:tblGrid>
        <w:gridCol w:w="3843"/>
        <w:gridCol w:w="830"/>
        <w:gridCol w:w="4372"/>
      </w:tblGrid>
      <w:tr w:rsidR="00C923BD" w:rsidRPr="00193957" w14:paraId="234FF4F5" w14:textId="3DA4BE56" w:rsidTr="001256BB">
        <w:trPr>
          <w:tblHeader/>
        </w:trPr>
        <w:tc>
          <w:tcPr>
            <w:tcW w:w="2124" w:type="pct"/>
            <w:tcBorders>
              <w:right w:val="single" w:sz="4" w:space="0" w:color="auto"/>
            </w:tcBorders>
            <w:shd w:val="clear" w:color="auto" w:fill="A6A6A6" w:themeFill="background1" w:themeFillShade="A6"/>
          </w:tcPr>
          <w:p w14:paraId="0575480A" w14:textId="77777777" w:rsidR="00C923BD" w:rsidRPr="00193957" w:rsidRDefault="00C923BD" w:rsidP="00B32B18">
            <w:pPr>
              <w:pStyle w:val="EYTableHeadingWhite"/>
            </w:pPr>
            <w:r w:rsidRPr="00193957">
              <w:t>Description</w:t>
            </w:r>
          </w:p>
        </w:tc>
        <w:tc>
          <w:tcPr>
            <w:tcW w:w="459" w:type="pct"/>
            <w:tcBorders>
              <w:left w:val="single" w:sz="4" w:space="0" w:color="auto"/>
            </w:tcBorders>
            <w:shd w:val="clear" w:color="auto" w:fill="A6A6A6" w:themeFill="background1" w:themeFillShade="A6"/>
          </w:tcPr>
          <w:p w14:paraId="213FDBE6" w14:textId="06E8ABCF" w:rsidR="00C923BD" w:rsidRPr="00193957" w:rsidRDefault="00B32B18" w:rsidP="00B32B18">
            <w:pPr>
              <w:pStyle w:val="EYTableHeadingWhite"/>
            </w:pPr>
            <w:r>
              <w:t>Data</w:t>
            </w:r>
          </w:p>
        </w:tc>
        <w:tc>
          <w:tcPr>
            <w:tcW w:w="2417" w:type="pct"/>
            <w:shd w:val="clear" w:color="auto" w:fill="A6A6A6" w:themeFill="background1" w:themeFillShade="A6"/>
          </w:tcPr>
          <w:p w14:paraId="7426B032" w14:textId="592A3E0D" w:rsidR="00C923BD" w:rsidRDefault="00B32B18" w:rsidP="00B32B18">
            <w:pPr>
              <w:pStyle w:val="EYTableHeadingWhite"/>
            </w:pPr>
            <w:r>
              <w:t>Source</w:t>
            </w:r>
          </w:p>
        </w:tc>
      </w:tr>
      <w:tr w:rsidR="00973D20" w:rsidRPr="00193957" w14:paraId="716CA01E" w14:textId="77777777" w:rsidTr="001256BB">
        <w:trPr>
          <w:tblHeader/>
        </w:trPr>
        <w:tc>
          <w:tcPr>
            <w:tcW w:w="5000" w:type="pct"/>
            <w:gridSpan w:val="3"/>
            <w:shd w:val="clear" w:color="auto" w:fill="D0E7FA" w:themeFill="accent3" w:themeFillTint="33"/>
          </w:tcPr>
          <w:p w14:paraId="74EE34CD" w14:textId="21778184" w:rsidR="00973D20" w:rsidRPr="00B32B18" w:rsidRDefault="00055507" w:rsidP="00B32B18">
            <w:pPr>
              <w:pStyle w:val="EYTableText"/>
              <w:rPr>
                <w:b/>
                <w:bCs/>
              </w:rPr>
            </w:pPr>
            <w:r w:rsidRPr="00B32B18">
              <w:rPr>
                <w:b/>
                <w:bCs/>
              </w:rPr>
              <w:t>Income gap</w:t>
            </w:r>
          </w:p>
        </w:tc>
      </w:tr>
      <w:tr w:rsidR="00C923BD" w14:paraId="5171DB2F" w14:textId="6A8D3FA7" w:rsidTr="005F588A">
        <w:tc>
          <w:tcPr>
            <w:tcW w:w="2124" w:type="pct"/>
            <w:tcBorders>
              <w:right w:val="single" w:sz="4" w:space="0" w:color="auto"/>
            </w:tcBorders>
          </w:tcPr>
          <w:p w14:paraId="4D7510BA" w14:textId="77777777" w:rsidR="00C923BD" w:rsidRDefault="00C923BD" w:rsidP="00B32B18">
            <w:pPr>
              <w:pStyle w:val="EYTableText"/>
            </w:pPr>
            <w:r>
              <w:t>% of students who do not complete Year 12 because of suspensions</w:t>
            </w:r>
          </w:p>
        </w:tc>
        <w:tc>
          <w:tcPr>
            <w:tcW w:w="459" w:type="pct"/>
            <w:tcBorders>
              <w:left w:val="single" w:sz="4" w:space="0" w:color="auto"/>
            </w:tcBorders>
          </w:tcPr>
          <w:p w14:paraId="3373232B" w14:textId="4465D948" w:rsidR="00C923BD" w:rsidRDefault="00C923BD" w:rsidP="00B32B18">
            <w:pPr>
              <w:pStyle w:val="EYTableText"/>
            </w:pPr>
            <w:r>
              <w:t>18.1%</w:t>
            </w:r>
          </w:p>
        </w:tc>
        <w:tc>
          <w:tcPr>
            <w:tcW w:w="2417" w:type="pct"/>
          </w:tcPr>
          <w:p w14:paraId="47CFD8A3" w14:textId="6BC18D9D" w:rsidR="00C923BD" w:rsidRPr="00F36CF4" w:rsidRDefault="006503DC" w:rsidP="00B32B18">
            <w:pPr>
              <w:pStyle w:val="EYTableText"/>
            </w:pPr>
            <w:r w:rsidRPr="006503DC">
              <w:t>Cobb-Clark, D. A., Kassenboehmer, S. C., Le, T., McVicar, D., &amp; Zhang, R. (2015). Is there an educational penalty for being suspended from school? Education Economics, 23(4), 376–395. https://doi.org/10.1080/09645292.2014.980398</w:t>
            </w:r>
          </w:p>
        </w:tc>
      </w:tr>
      <w:tr w:rsidR="00E546B2" w14:paraId="132A6500" w14:textId="6C2FF651" w:rsidTr="005F588A">
        <w:tc>
          <w:tcPr>
            <w:tcW w:w="2124" w:type="pct"/>
            <w:tcBorders>
              <w:right w:val="single" w:sz="4" w:space="0" w:color="auto"/>
            </w:tcBorders>
          </w:tcPr>
          <w:p w14:paraId="17F28812" w14:textId="1D0F7633" w:rsidR="00E546B2" w:rsidRPr="00B85046" w:rsidRDefault="00E546B2" w:rsidP="00B32B18">
            <w:pPr>
              <w:pStyle w:val="EYTableText"/>
            </w:pPr>
            <w:r w:rsidRPr="00B85046">
              <w:t xml:space="preserve">Employment rate for persons with disability that completed </w:t>
            </w:r>
            <w:r w:rsidR="00115997">
              <w:t>Year</w:t>
            </w:r>
            <w:r w:rsidRPr="00B85046">
              <w:t xml:space="preserve"> 12</w:t>
            </w:r>
          </w:p>
        </w:tc>
        <w:tc>
          <w:tcPr>
            <w:tcW w:w="459" w:type="pct"/>
            <w:tcBorders>
              <w:left w:val="single" w:sz="4" w:space="0" w:color="auto"/>
            </w:tcBorders>
          </w:tcPr>
          <w:p w14:paraId="10589631" w14:textId="5BED4099" w:rsidR="00E546B2" w:rsidRPr="00B85046" w:rsidRDefault="00E546B2" w:rsidP="00B32B18">
            <w:pPr>
              <w:pStyle w:val="EYTableText"/>
            </w:pPr>
            <w:r w:rsidRPr="00B85046">
              <w:t>57.0%</w:t>
            </w:r>
          </w:p>
        </w:tc>
        <w:tc>
          <w:tcPr>
            <w:tcW w:w="2417" w:type="pct"/>
            <w:vMerge w:val="restart"/>
          </w:tcPr>
          <w:p w14:paraId="70754F91" w14:textId="590CCCCC" w:rsidR="00E546B2" w:rsidRPr="00F36CF4" w:rsidRDefault="00FD1B90" w:rsidP="00B32B18">
            <w:pPr>
              <w:pStyle w:val="EYTableText"/>
            </w:pPr>
            <w:r w:rsidRPr="00F36CF4">
              <w:t xml:space="preserve">Australian Bureau of Statistics. (2022). Household Income and Wealth, Australia. Key information from the Survey of Income and Housing 2019-20 including distribution of income and wealth by various household characteristics. </w:t>
            </w:r>
            <w:r w:rsidR="00E546B2" w:rsidRPr="00F36CF4">
              <w:t>https://www.abs.gov.au/statistics/economy/finance/household-income-and-wealth-australia/latest-release#introduction</w:t>
            </w:r>
          </w:p>
          <w:p w14:paraId="763249EE" w14:textId="77777777" w:rsidR="00E546B2" w:rsidRPr="00F36CF4" w:rsidRDefault="00E546B2" w:rsidP="00B32B18">
            <w:pPr>
              <w:pStyle w:val="EYTableText"/>
            </w:pPr>
          </w:p>
          <w:p w14:paraId="0709780B" w14:textId="29627085" w:rsidR="00E546B2" w:rsidRPr="00F36CF4" w:rsidRDefault="00E546B2" w:rsidP="00B32B18">
            <w:pPr>
              <w:pStyle w:val="EYTableText"/>
            </w:pPr>
            <w:r w:rsidRPr="00F36CF4">
              <w:t xml:space="preserve">Costs were derived by multiplying the number of Year 12 non-completions with the difference in income, employment rate and attribution factor. These are split into employment rates, unemployment rates and non-participating rates. </w:t>
            </w:r>
          </w:p>
        </w:tc>
      </w:tr>
      <w:tr w:rsidR="00E546B2" w14:paraId="06D7B9D3" w14:textId="1273DBAF" w:rsidTr="005F588A">
        <w:tc>
          <w:tcPr>
            <w:tcW w:w="2124" w:type="pct"/>
            <w:tcBorders>
              <w:right w:val="single" w:sz="4" w:space="0" w:color="auto"/>
            </w:tcBorders>
          </w:tcPr>
          <w:p w14:paraId="5C716A78" w14:textId="3C4F6FB3" w:rsidR="00E546B2" w:rsidRPr="00B85046" w:rsidRDefault="00E546B2" w:rsidP="00B32B18">
            <w:pPr>
              <w:pStyle w:val="EYTableText"/>
            </w:pPr>
            <w:r w:rsidRPr="00B85046">
              <w:t xml:space="preserve">Employment rate for persons with disability that did not complete </w:t>
            </w:r>
            <w:r w:rsidR="00115997">
              <w:t>Year</w:t>
            </w:r>
            <w:r w:rsidRPr="00B85046">
              <w:t xml:space="preserve"> 12</w:t>
            </w:r>
          </w:p>
        </w:tc>
        <w:tc>
          <w:tcPr>
            <w:tcW w:w="459" w:type="pct"/>
            <w:tcBorders>
              <w:left w:val="single" w:sz="4" w:space="0" w:color="auto"/>
            </w:tcBorders>
          </w:tcPr>
          <w:p w14:paraId="711199EA" w14:textId="2E6BCA4F" w:rsidR="00E546B2" w:rsidRPr="00B85046" w:rsidRDefault="00E546B2" w:rsidP="00B32B18">
            <w:pPr>
              <w:pStyle w:val="EYTableText"/>
            </w:pPr>
            <w:r w:rsidRPr="00B85046">
              <w:t>29.7%</w:t>
            </w:r>
          </w:p>
        </w:tc>
        <w:tc>
          <w:tcPr>
            <w:tcW w:w="2417" w:type="pct"/>
            <w:vMerge/>
          </w:tcPr>
          <w:p w14:paraId="01BF8B1D" w14:textId="77777777" w:rsidR="00E546B2" w:rsidRPr="00F36CF4" w:rsidRDefault="00E546B2" w:rsidP="00B32B18">
            <w:pPr>
              <w:pStyle w:val="EYTableText"/>
            </w:pPr>
          </w:p>
        </w:tc>
      </w:tr>
      <w:tr w:rsidR="00E546B2" w14:paraId="3092BA48" w14:textId="6976DF9C" w:rsidTr="005F588A">
        <w:tc>
          <w:tcPr>
            <w:tcW w:w="2124" w:type="pct"/>
            <w:tcBorders>
              <w:right w:val="single" w:sz="4" w:space="0" w:color="auto"/>
            </w:tcBorders>
          </w:tcPr>
          <w:p w14:paraId="1D007A78" w14:textId="2ADE4B6D" w:rsidR="00E546B2" w:rsidRPr="00B85046" w:rsidRDefault="00E546B2" w:rsidP="00B32B18">
            <w:pPr>
              <w:pStyle w:val="EYTableText"/>
            </w:pPr>
            <w:r w:rsidRPr="00B85046">
              <w:t xml:space="preserve">Unemployment rate for persons with disability that completed </w:t>
            </w:r>
            <w:r w:rsidR="00115997">
              <w:t>Year</w:t>
            </w:r>
            <w:r w:rsidRPr="00B85046">
              <w:t xml:space="preserve"> 12</w:t>
            </w:r>
          </w:p>
        </w:tc>
        <w:tc>
          <w:tcPr>
            <w:tcW w:w="459" w:type="pct"/>
            <w:tcBorders>
              <w:left w:val="single" w:sz="4" w:space="0" w:color="auto"/>
            </w:tcBorders>
          </w:tcPr>
          <w:p w14:paraId="29251B43" w14:textId="1EC5407C" w:rsidR="00E546B2" w:rsidRPr="00B85046" w:rsidRDefault="00E546B2" w:rsidP="00B32B18">
            <w:pPr>
              <w:pStyle w:val="EYTableText"/>
            </w:pPr>
            <w:r w:rsidRPr="00B85046">
              <w:t>5.1%</w:t>
            </w:r>
          </w:p>
        </w:tc>
        <w:tc>
          <w:tcPr>
            <w:tcW w:w="2417" w:type="pct"/>
            <w:vMerge/>
          </w:tcPr>
          <w:p w14:paraId="106D61C8" w14:textId="77777777" w:rsidR="00E546B2" w:rsidRPr="00F36CF4" w:rsidRDefault="00E546B2" w:rsidP="00B32B18">
            <w:pPr>
              <w:pStyle w:val="EYTableText"/>
            </w:pPr>
          </w:p>
        </w:tc>
      </w:tr>
      <w:tr w:rsidR="00E546B2" w14:paraId="7BACEB71" w14:textId="139E694D" w:rsidTr="005F588A">
        <w:tc>
          <w:tcPr>
            <w:tcW w:w="2124" w:type="pct"/>
            <w:tcBorders>
              <w:right w:val="single" w:sz="4" w:space="0" w:color="auto"/>
            </w:tcBorders>
          </w:tcPr>
          <w:p w14:paraId="08011F5F" w14:textId="04C1CE8D" w:rsidR="00E546B2" w:rsidRPr="00B85046" w:rsidRDefault="00E546B2" w:rsidP="00B32B18">
            <w:pPr>
              <w:pStyle w:val="EYTableText"/>
            </w:pPr>
            <w:r w:rsidRPr="00B85046">
              <w:t xml:space="preserve">Unemployment rate for persons with disability that did not complete </w:t>
            </w:r>
            <w:r w:rsidR="00115997">
              <w:t>Year</w:t>
            </w:r>
            <w:r w:rsidRPr="00B85046">
              <w:t xml:space="preserve"> 12</w:t>
            </w:r>
          </w:p>
        </w:tc>
        <w:tc>
          <w:tcPr>
            <w:tcW w:w="459" w:type="pct"/>
            <w:tcBorders>
              <w:left w:val="single" w:sz="4" w:space="0" w:color="auto"/>
            </w:tcBorders>
          </w:tcPr>
          <w:p w14:paraId="30D54A1C" w14:textId="012DF635" w:rsidR="00E546B2" w:rsidRPr="00B85046" w:rsidRDefault="00E546B2" w:rsidP="00B32B18">
            <w:pPr>
              <w:pStyle w:val="EYTableText"/>
            </w:pPr>
            <w:r w:rsidRPr="00B85046">
              <w:t>5.5%</w:t>
            </w:r>
          </w:p>
        </w:tc>
        <w:tc>
          <w:tcPr>
            <w:tcW w:w="2417" w:type="pct"/>
            <w:vMerge/>
          </w:tcPr>
          <w:p w14:paraId="3F3A6A3E" w14:textId="77777777" w:rsidR="00E546B2" w:rsidRPr="00F36CF4" w:rsidRDefault="00E546B2" w:rsidP="00B32B18">
            <w:pPr>
              <w:pStyle w:val="EYTableText"/>
            </w:pPr>
          </w:p>
        </w:tc>
      </w:tr>
      <w:tr w:rsidR="00E546B2" w14:paraId="159721D8" w14:textId="0F0494F0" w:rsidTr="005F588A">
        <w:tc>
          <w:tcPr>
            <w:tcW w:w="2124" w:type="pct"/>
            <w:tcBorders>
              <w:right w:val="single" w:sz="4" w:space="0" w:color="auto"/>
            </w:tcBorders>
          </w:tcPr>
          <w:p w14:paraId="33D14856" w14:textId="01F346A1" w:rsidR="00E546B2" w:rsidRPr="00B85046" w:rsidRDefault="001E0827" w:rsidP="00B32B18">
            <w:pPr>
              <w:pStyle w:val="EYTableText"/>
            </w:pPr>
            <w:r>
              <w:t>Non-participation</w:t>
            </w:r>
            <w:r w:rsidR="00E546B2" w:rsidRPr="00B85046">
              <w:t xml:space="preserve"> rate for persons with disability that completed </w:t>
            </w:r>
            <w:r w:rsidR="00115997">
              <w:t>Year</w:t>
            </w:r>
            <w:r w:rsidR="00E546B2" w:rsidRPr="00B85046">
              <w:t xml:space="preserve"> 12</w:t>
            </w:r>
          </w:p>
        </w:tc>
        <w:tc>
          <w:tcPr>
            <w:tcW w:w="459" w:type="pct"/>
            <w:tcBorders>
              <w:left w:val="single" w:sz="4" w:space="0" w:color="auto"/>
            </w:tcBorders>
          </w:tcPr>
          <w:p w14:paraId="2D6FF9A2" w14:textId="3DDC9AC5" w:rsidR="00E546B2" w:rsidRPr="00B85046" w:rsidRDefault="00E546B2" w:rsidP="00B32B18">
            <w:pPr>
              <w:pStyle w:val="EYTableText"/>
            </w:pPr>
            <w:r w:rsidRPr="00B85046">
              <w:t>37.7%</w:t>
            </w:r>
          </w:p>
        </w:tc>
        <w:tc>
          <w:tcPr>
            <w:tcW w:w="2417" w:type="pct"/>
            <w:vMerge/>
          </w:tcPr>
          <w:p w14:paraId="3DD271F6" w14:textId="77777777" w:rsidR="00E546B2" w:rsidRPr="00F36CF4" w:rsidRDefault="00E546B2" w:rsidP="00B32B18">
            <w:pPr>
              <w:pStyle w:val="EYTableText"/>
            </w:pPr>
          </w:p>
        </w:tc>
      </w:tr>
      <w:tr w:rsidR="00E546B2" w14:paraId="5F6145B8" w14:textId="30F9FDD8" w:rsidTr="005F588A">
        <w:tc>
          <w:tcPr>
            <w:tcW w:w="2124" w:type="pct"/>
            <w:tcBorders>
              <w:right w:val="single" w:sz="4" w:space="0" w:color="auto"/>
            </w:tcBorders>
          </w:tcPr>
          <w:p w14:paraId="61FA0C65" w14:textId="4D941B62" w:rsidR="00E546B2" w:rsidRPr="00B85046" w:rsidRDefault="001E0827" w:rsidP="00B32B18">
            <w:pPr>
              <w:pStyle w:val="EYTableText"/>
            </w:pPr>
            <w:r>
              <w:t>Non-participation</w:t>
            </w:r>
            <w:r w:rsidR="00E546B2" w:rsidRPr="00B85046">
              <w:t xml:space="preserve"> rate for persons with disability that did not complete </w:t>
            </w:r>
            <w:r w:rsidR="00115997">
              <w:t>Year</w:t>
            </w:r>
            <w:r w:rsidR="00E546B2" w:rsidRPr="00B85046">
              <w:t xml:space="preserve"> 12</w:t>
            </w:r>
          </w:p>
        </w:tc>
        <w:tc>
          <w:tcPr>
            <w:tcW w:w="459" w:type="pct"/>
            <w:tcBorders>
              <w:left w:val="single" w:sz="4" w:space="0" w:color="auto"/>
            </w:tcBorders>
          </w:tcPr>
          <w:p w14:paraId="1B66E29A" w14:textId="5A69E2F3" w:rsidR="00E546B2" w:rsidRPr="00B85046" w:rsidRDefault="00E546B2" w:rsidP="00B32B18">
            <w:pPr>
              <w:pStyle w:val="EYTableText"/>
            </w:pPr>
            <w:r w:rsidRPr="00B85046">
              <w:t>65.5%</w:t>
            </w:r>
          </w:p>
        </w:tc>
        <w:tc>
          <w:tcPr>
            <w:tcW w:w="2417" w:type="pct"/>
            <w:vMerge/>
          </w:tcPr>
          <w:p w14:paraId="018C11BA" w14:textId="77777777" w:rsidR="00E546B2" w:rsidRPr="00F36CF4" w:rsidRDefault="00E546B2" w:rsidP="00B32B18">
            <w:pPr>
              <w:pStyle w:val="EYTableText"/>
            </w:pPr>
          </w:p>
        </w:tc>
      </w:tr>
      <w:tr w:rsidR="00E546B2" w14:paraId="76CC28AC" w14:textId="520B7B95" w:rsidTr="005F588A">
        <w:tc>
          <w:tcPr>
            <w:tcW w:w="2124" w:type="pct"/>
            <w:tcBorders>
              <w:right w:val="single" w:sz="4" w:space="0" w:color="auto"/>
            </w:tcBorders>
          </w:tcPr>
          <w:p w14:paraId="31BCA03A" w14:textId="735E99AE" w:rsidR="00E546B2" w:rsidRPr="00B85046" w:rsidRDefault="00E546B2" w:rsidP="00B32B18">
            <w:pPr>
              <w:pStyle w:val="EYTableText"/>
            </w:pPr>
            <w:r w:rsidRPr="00B85046">
              <w:t xml:space="preserve">Mean income for employed persons with disability that completed </w:t>
            </w:r>
            <w:r w:rsidR="00115997">
              <w:t>Year</w:t>
            </w:r>
            <w:r w:rsidRPr="00B85046">
              <w:t xml:space="preserve"> 12</w:t>
            </w:r>
          </w:p>
        </w:tc>
        <w:tc>
          <w:tcPr>
            <w:tcW w:w="459" w:type="pct"/>
            <w:tcBorders>
              <w:left w:val="single" w:sz="4" w:space="0" w:color="auto"/>
            </w:tcBorders>
          </w:tcPr>
          <w:p w14:paraId="32F5C015" w14:textId="15EBEAA7" w:rsidR="00E546B2" w:rsidRPr="00B85046" w:rsidRDefault="00E546B2" w:rsidP="00B32B18">
            <w:pPr>
              <w:pStyle w:val="EYTableText"/>
            </w:pPr>
            <w:r w:rsidRPr="00B85046">
              <w:t xml:space="preserve">$1,086 </w:t>
            </w:r>
          </w:p>
          <w:p w14:paraId="50FB1DDF" w14:textId="7EAB2BFC" w:rsidR="00E546B2" w:rsidRDefault="00E546B2" w:rsidP="00B32B18">
            <w:pPr>
              <w:pStyle w:val="EYTableText"/>
            </w:pPr>
          </w:p>
        </w:tc>
        <w:tc>
          <w:tcPr>
            <w:tcW w:w="2417" w:type="pct"/>
            <w:vMerge/>
          </w:tcPr>
          <w:p w14:paraId="1D90D866" w14:textId="77777777" w:rsidR="00E546B2" w:rsidRPr="00F36CF4" w:rsidRDefault="00E546B2" w:rsidP="00B32B18">
            <w:pPr>
              <w:pStyle w:val="EYTableText"/>
            </w:pPr>
          </w:p>
        </w:tc>
      </w:tr>
      <w:tr w:rsidR="00E546B2" w14:paraId="6D2F4623" w14:textId="0DDC3014" w:rsidTr="005F588A">
        <w:tc>
          <w:tcPr>
            <w:tcW w:w="2124" w:type="pct"/>
            <w:tcBorders>
              <w:right w:val="single" w:sz="4" w:space="0" w:color="auto"/>
            </w:tcBorders>
          </w:tcPr>
          <w:p w14:paraId="78969D15" w14:textId="598C6E8B" w:rsidR="00E546B2" w:rsidRPr="00B85046" w:rsidRDefault="00E546B2" w:rsidP="00B32B18">
            <w:pPr>
              <w:pStyle w:val="EYTableText"/>
            </w:pPr>
            <w:r w:rsidRPr="00B85046">
              <w:t xml:space="preserve">Mean income for unemployed persons with disability that completed </w:t>
            </w:r>
            <w:r w:rsidR="00115997">
              <w:t>Year</w:t>
            </w:r>
            <w:r w:rsidRPr="00B85046">
              <w:t xml:space="preserve"> 12</w:t>
            </w:r>
          </w:p>
        </w:tc>
        <w:tc>
          <w:tcPr>
            <w:tcW w:w="459" w:type="pct"/>
            <w:tcBorders>
              <w:left w:val="single" w:sz="4" w:space="0" w:color="auto"/>
            </w:tcBorders>
          </w:tcPr>
          <w:p w14:paraId="29E213A1" w14:textId="03274E1A" w:rsidR="00E546B2" w:rsidRPr="00B85046" w:rsidRDefault="00E546B2" w:rsidP="00B32B18">
            <w:pPr>
              <w:pStyle w:val="EYTableText"/>
            </w:pPr>
            <w:r w:rsidRPr="00B85046">
              <w:t xml:space="preserve">$208 </w:t>
            </w:r>
          </w:p>
          <w:p w14:paraId="54DE3F4D" w14:textId="77777777" w:rsidR="00E546B2" w:rsidRDefault="00E546B2" w:rsidP="00B32B18">
            <w:pPr>
              <w:pStyle w:val="EYTableText"/>
            </w:pPr>
          </w:p>
        </w:tc>
        <w:tc>
          <w:tcPr>
            <w:tcW w:w="2417" w:type="pct"/>
            <w:vMerge/>
          </w:tcPr>
          <w:p w14:paraId="532D2BBB" w14:textId="77777777" w:rsidR="00E546B2" w:rsidRPr="00F36CF4" w:rsidRDefault="00E546B2" w:rsidP="00B32B18">
            <w:pPr>
              <w:pStyle w:val="EYTableText"/>
            </w:pPr>
          </w:p>
        </w:tc>
      </w:tr>
      <w:tr w:rsidR="00E546B2" w14:paraId="42845B11" w14:textId="4F92F1A4" w:rsidTr="005F588A">
        <w:tc>
          <w:tcPr>
            <w:tcW w:w="2124" w:type="pct"/>
            <w:tcBorders>
              <w:right w:val="single" w:sz="4" w:space="0" w:color="auto"/>
            </w:tcBorders>
          </w:tcPr>
          <w:p w14:paraId="3E09A615" w14:textId="0922F50F" w:rsidR="00E546B2" w:rsidRPr="00B85046" w:rsidRDefault="00E546B2" w:rsidP="00B32B18">
            <w:pPr>
              <w:pStyle w:val="EYTableText"/>
            </w:pPr>
            <w:r w:rsidRPr="00B85046">
              <w:t xml:space="preserve">Mean income for not in labour force persons with disability that completed </w:t>
            </w:r>
            <w:r w:rsidR="00115997">
              <w:t>Year</w:t>
            </w:r>
            <w:r w:rsidRPr="00B85046">
              <w:t xml:space="preserve"> 12</w:t>
            </w:r>
          </w:p>
        </w:tc>
        <w:tc>
          <w:tcPr>
            <w:tcW w:w="459" w:type="pct"/>
            <w:tcBorders>
              <w:left w:val="single" w:sz="4" w:space="0" w:color="auto"/>
            </w:tcBorders>
          </w:tcPr>
          <w:p w14:paraId="2B0C1001" w14:textId="30352DB5" w:rsidR="00E546B2" w:rsidRPr="00B85046" w:rsidRDefault="00E546B2" w:rsidP="00B32B18">
            <w:pPr>
              <w:pStyle w:val="EYTableText"/>
            </w:pPr>
            <w:r w:rsidRPr="00B85046">
              <w:t xml:space="preserve">$480 </w:t>
            </w:r>
          </w:p>
          <w:p w14:paraId="7BF00889" w14:textId="77777777" w:rsidR="00E546B2" w:rsidRDefault="00E546B2" w:rsidP="00B32B18">
            <w:pPr>
              <w:pStyle w:val="EYTableText"/>
            </w:pPr>
          </w:p>
        </w:tc>
        <w:tc>
          <w:tcPr>
            <w:tcW w:w="2417" w:type="pct"/>
            <w:vMerge/>
          </w:tcPr>
          <w:p w14:paraId="534D1218" w14:textId="77777777" w:rsidR="00E546B2" w:rsidRPr="00F36CF4" w:rsidRDefault="00E546B2" w:rsidP="00B32B18">
            <w:pPr>
              <w:pStyle w:val="EYTableText"/>
            </w:pPr>
          </w:p>
        </w:tc>
      </w:tr>
      <w:tr w:rsidR="00E546B2" w14:paraId="3CC5BE49" w14:textId="16B5B7C4" w:rsidTr="005F588A">
        <w:tc>
          <w:tcPr>
            <w:tcW w:w="2124" w:type="pct"/>
            <w:tcBorders>
              <w:right w:val="single" w:sz="4" w:space="0" w:color="auto"/>
            </w:tcBorders>
          </w:tcPr>
          <w:p w14:paraId="51D63008" w14:textId="6D5F2275" w:rsidR="00E546B2" w:rsidRPr="00B85046" w:rsidRDefault="00E546B2" w:rsidP="00B32B18">
            <w:pPr>
              <w:pStyle w:val="EYTableText"/>
            </w:pPr>
            <w:r w:rsidRPr="00B85046">
              <w:t xml:space="preserve">Mean income for employed persons with disability that did not complete </w:t>
            </w:r>
            <w:r w:rsidR="00115997">
              <w:t>Year</w:t>
            </w:r>
            <w:r w:rsidRPr="00B85046">
              <w:t xml:space="preserve"> 12</w:t>
            </w:r>
          </w:p>
        </w:tc>
        <w:tc>
          <w:tcPr>
            <w:tcW w:w="459" w:type="pct"/>
            <w:tcBorders>
              <w:left w:val="single" w:sz="4" w:space="0" w:color="auto"/>
            </w:tcBorders>
          </w:tcPr>
          <w:p w14:paraId="37CB9F07" w14:textId="7B240733" w:rsidR="00E546B2" w:rsidRPr="00B85046" w:rsidRDefault="00E546B2" w:rsidP="00B32B18">
            <w:pPr>
              <w:pStyle w:val="EYTableText"/>
            </w:pPr>
            <w:r w:rsidRPr="00B85046">
              <w:t xml:space="preserve">$974 </w:t>
            </w:r>
          </w:p>
          <w:p w14:paraId="3A7BDC78" w14:textId="77777777" w:rsidR="00E546B2" w:rsidRDefault="00E546B2" w:rsidP="00B32B18">
            <w:pPr>
              <w:pStyle w:val="EYTableText"/>
            </w:pPr>
          </w:p>
        </w:tc>
        <w:tc>
          <w:tcPr>
            <w:tcW w:w="2417" w:type="pct"/>
            <w:vMerge/>
          </w:tcPr>
          <w:p w14:paraId="5457A5A8" w14:textId="77777777" w:rsidR="00E546B2" w:rsidRPr="00F36CF4" w:rsidRDefault="00E546B2" w:rsidP="00B32B18">
            <w:pPr>
              <w:pStyle w:val="EYTableText"/>
            </w:pPr>
          </w:p>
        </w:tc>
      </w:tr>
      <w:tr w:rsidR="00E546B2" w14:paraId="7C8905F4" w14:textId="706130E2" w:rsidTr="005F588A">
        <w:tc>
          <w:tcPr>
            <w:tcW w:w="2124" w:type="pct"/>
            <w:tcBorders>
              <w:right w:val="single" w:sz="4" w:space="0" w:color="auto"/>
            </w:tcBorders>
          </w:tcPr>
          <w:p w14:paraId="6DFFBDAF" w14:textId="75975E61" w:rsidR="00E546B2" w:rsidRPr="00B85046" w:rsidRDefault="00E546B2" w:rsidP="00B32B18">
            <w:pPr>
              <w:pStyle w:val="EYTableText"/>
            </w:pPr>
            <w:r w:rsidRPr="00B85046">
              <w:t xml:space="preserve">Mean income for unemployed persons with disability that did not complete </w:t>
            </w:r>
            <w:r w:rsidR="00115997">
              <w:t>Year</w:t>
            </w:r>
            <w:r w:rsidRPr="00B85046">
              <w:t xml:space="preserve"> 12</w:t>
            </w:r>
          </w:p>
        </w:tc>
        <w:tc>
          <w:tcPr>
            <w:tcW w:w="459" w:type="pct"/>
            <w:tcBorders>
              <w:left w:val="single" w:sz="4" w:space="0" w:color="auto"/>
            </w:tcBorders>
          </w:tcPr>
          <w:p w14:paraId="24AD6160" w14:textId="4183DF8D" w:rsidR="00E546B2" w:rsidRPr="00B85046" w:rsidRDefault="00E546B2" w:rsidP="00B32B18">
            <w:pPr>
              <w:pStyle w:val="EYTableText"/>
            </w:pPr>
            <w:r w:rsidRPr="00B85046">
              <w:t xml:space="preserve">$186 </w:t>
            </w:r>
          </w:p>
          <w:p w14:paraId="75E20FE7" w14:textId="77777777" w:rsidR="00E546B2" w:rsidRDefault="00E546B2" w:rsidP="00B32B18">
            <w:pPr>
              <w:pStyle w:val="EYTableText"/>
            </w:pPr>
          </w:p>
        </w:tc>
        <w:tc>
          <w:tcPr>
            <w:tcW w:w="2417" w:type="pct"/>
            <w:vMerge/>
          </w:tcPr>
          <w:p w14:paraId="5B9D31D4" w14:textId="77777777" w:rsidR="00E546B2" w:rsidRPr="00F36CF4" w:rsidRDefault="00E546B2" w:rsidP="00B32B18">
            <w:pPr>
              <w:pStyle w:val="EYTableText"/>
            </w:pPr>
          </w:p>
        </w:tc>
      </w:tr>
      <w:tr w:rsidR="00E546B2" w14:paraId="5A7C8CE4" w14:textId="40B60FF7" w:rsidTr="005F588A">
        <w:tc>
          <w:tcPr>
            <w:tcW w:w="2124" w:type="pct"/>
            <w:tcBorders>
              <w:right w:val="single" w:sz="4" w:space="0" w:color="auto"/>
            </w:tcBorders>
          </w:tcPr>
          <w:p w14:paraId="26C07253" w14:textId="3FDE9D5E" w:rsidR="00E546B2" w:rsidRPr="00B85046" w:rsidRDefault="00E546B2" w:rsidP="00B32B18">
            <w:pPr>
              <w:pStyle w:val="EYTableText"/>
            </w:pPr>
            <w:r w:rsidRPr="00B85046">
              <w:t xml:space="preserve">Mean income for not in labour force persons with disability that did not complete </w:t>
            </w:r>
            <w:r w:rsidR="00115997">
              <w:t>Year</w:t>
            </w:r>
            <w:r w:rsidRPr="00B85046">
              <w:t xml:space="preserve"> 12</w:t>
            </w:r>
          </w:p>
        </w:tc>
        <w:tc>
          <w:tcPr>
            <w:tcW w:w="459" w:type="pct"/>
            <w:tcBorders>
              <w:left w:val="single" w:sz="4" w:space="0" w:color="auto"/>
            </w:tcBorders>
          </w:tcPr>
          <w:p w14:paraId="28091E2E" w14:textId="4A5FA0B4" w:rsidR="00E546B2" w:rsidRPr="00B85046" w:rsidRDefault="00E546B2" w:rsidP="00B32B18">
            <w:pPr>
              <w:pStyle w:val="EYTableText"/>
            </w:pPr>
            <w:r w:rsidRPr="00B85046">
              <w:t xml:space="preserve">$424 </w:t>
            </w:r>
          </w:p>
          <w:p w14:paraId="424B36A7" w14:textId="77777777" w:rsidR="00E546B2" w:rsidRDefault="00E546B2" w:rsidP="00B32B18">
            <w:pPr>
              <w:pStyle w:val="EYTableText"/>
            </w:pPr>
          </w:p>
        </w:tc>
        <w:tc>
          <w:tcPr>
            <w:tcW w:w="2417" w:type="pct"/>
            <w:vMerge/>
          </w:tcPr>
          <w:p w14:paraId="238F3E5D" w14:textId="77777777" w:rsidR="00E546B2" w:rsidRPr="00F36CF4" w:rsidRDefault="00E546B2" w:rsidP="00B32B18">
            <w:pPr>
              <w:pStyle w:val="EYTableText"/>
            </w:pPr>
          </w:p>
        </w:tc>
      </w:tr>
      <w:tr w:rsidR="009B70A7" w14:paraId="247A378A" w14:textId="77777777" w:rsidTr="005F588A">
        <w:tc>
          <w:tcPr>
            <w:tcW w:w="2124" w:type="pct"/>
            <w:tcBorders>
              <w:right w:val="single" w:sz="4" w:space="0" w:color="auto"/>
            </w:tcBorders>
          </w:tcPr>
          <w:p w14:paraId="5F3370A3" w14:textId="190BADBC" w:rsidR="009B70A7" w:rsidRPr="00B85046" w:rsidRDefault="009B70A7" w:rsidP="00B32B18">
            <w:pPr>
              <w:pStyle w:val="EYTableText"/>
            </w:pPr>
            <w:r>
              <w:t xml:space="preserve">Inflation factor for </w:t>
            </w:r>
            <w:r w:rsidR="00055507">
              <w:t>costs</w:t>
            </w:r>
          </w:p>
        </w:tc>
        <w:tc>
          <w:tcPr>
            <w:tcW w:w="459" w:type="pct"/>
            <w:tcBorders>
              <w:left w:val="single" w:sz="4" w:space="0" w:color="auto"/>
            </w:tcBorders>
          </w:tcPr>
          <w:p w14:paraId="53751360" w14:textId="4BD5F9A6" w:rsidR="009B70A7" w:rsidRPr="00B85046" w:rsidRDefault="009B70A7" w:rsidP="00B32B18">
            <w:pPr>
              <w:pStyle w:val="EYTableText"/>
            </w:pPr>
            <w:r>
              <w:t>3%</w:t>
            </w:r>
          </w:p>
        </w:tc>
        <w:tc>
          <w:tcPr>
            <w:tcW w:w="2417" w:type="pct"/>
          </w:tcPr>
          <w:p w14:paraId="4D7534DF" w14:textId="53D0C56D" w:rsidR="009B70A7" w:rsidRPr="00F36CF4" w:rsidRDefault="00085D02" w:rsidP="00B32B18">
            <w:pPr>
              <w:pStyle w:val="EYTableText"/>
            </w:pPr>
            <w:r w:rsidRPr="00F36CF4">
              <w:t xml:space="preserve">Reserve Bank of Australia. (2024). Inflation Target. </w:t>
            </w:r>
            <w:r w:rsidR="00AF4B67" w:rsidRPr="00F36CF4">
              <w:t>https://www.rba.gov.au/inflation/inflation-target.html</w:t>
            </w:r>
          </w:p>
        </w:tc>
      </w:tr>
      <w:tr w:rsidR="00055507" w14:paraId="1D1D6C7B" w14:textId="77777777" w:rsidTr="00B32B18">
        <w:tc>
          <w:tcPr>
            <w:tcW w:w="5000" w:type="pct"/>
            <w:gridSpan w:val="3"/>
            <w:shd w:val="clear" w:color="auto" w:fill="D0E7FA" w:themeFill="accent3" w:themeFillTint="33"/>
          </w:tcPr>
          <w:p w14:paraId="3270669D" w14:textId="373BB9F2" w:rsidR="00055507" w:rsidRPr="00115997" w:rsidRDefault="00177C2F" w:rsidP="00B32B18">
            <w:pPr>
              <w:pStyle w:val="EYTableText"/>
              <w:rPr>
                <w:b/>
                <w:bCs/>
              </w:rPr>
            </w:pPr>
            <w:r w:rsidRPr="00115997">
              <w:rPr>
                <w:b/>
                <w:bCs/>
              </w:rPr>
              <w:t>Expected contact with the Adult Justice custodial system</w:t>
            </w:r>
          </w:p>
        </w:tc>
      </w:tr>
      <w:tr w:rsidR="00055507" w14:paraId="409BC83E" w14:textId="77777777" w:rsidTr="005F588A">
        <w:tc>
          <w:tcPr>
            <w:tcW w:w="2124" w:type="pct"/>
            <w:tcBorders>
              <w:right w:val="single" w:sz="4" w:space="0" w:color="auto"/>
            </w:tcBorders>
          </w:tcPr>
          <w:p w14:paraId="34DD07C4" w14:textId="696297DB" w:rsidR="00055507" w:rsidRDefault="00AE1BC5" w:rsidP="00B32B18">
            <w:pPr>
              <w:pStyle w:val="EYTableText"/>
            </w:pPr>
            <w:r>
              <w:t>Proportion of juveniles with a Youth Justice offence who had a subsequent Adult Justice custodial sentence</w:t>
            </w:r>
          </w:p>
        </w:tc>
        <w:tc>
          <w:tcPr>
            <w:tcW w:w="459" w:type="pct"/>
            <w:tcBorders>
              <w:left w:val="single" w:sz="4" w:space="0" w:color="auto"/>
            </w:tcBorders>
          </w:tcPr>
          <w:p w14:paraId="1E7FBD60" w14:textId="2D56A315" w:rsidR="00055507" w:rsidRDefault="00694959" w:rsidP="00B32B18">
            <w:pPr>
              <w:pStyle w:val="EYTableText"/>
            </w:pPr>
            <w:r>
              <w:t>13%</w:t>
            </w:r>
          </w:p>
        </w:tc>
        <w:tc>
          <w:tcPr>
            <w:tcW w:w="2417" w:type="pct"/>
          </w:tcPr>
          <w:p w14:paraId="2590D72E" w14:textId="70C9C309" w:rsidR="00055507" w:rsidRPr="00F36CF4" w:rsidRDefault="008F7A86" w:rsidP="00B32B18">
            <w:pPr>
              <w:pStyle w:val="EYTableText"/>
            </w:pPr>
            <w:r w:rsidRPr="008F7A86">
              <w:t>Chen, S., Matruglio, T., Weatherburn, D., Hua, J. (2005). The transition from juvenile to adult criminal careers (Crime and Justice Bulletin No. 86). Sydney: NSW Bureau of Crime Statistics and Research. https://www.bocsar.nsw.gov.au/Publications/CJB/cjb86.pdf</w:t>
            </w:r>
          </w:p>
        </w:tc>
      </w:tr>
      <w:tr w:rsidR="00F17D46" w14:paraId="49C516EF" w14:textId="77777777" w:rsidTr="00B32B18">
        <w:tc>
          <w:tcPr>
            <w:tcW w:w="5000" w:type="pct"/>
            <w:gridSpan w:val="3"/>
            <w:shd w:val="clear" w:color="auto" w:fill="D0E7FA" w:themeFill="accent3" w:themeFillTint="33"/>
          </w:tcPr>
          <w:p w14:paraId="15611DE8" w14:textId="6EE6A2ED" w:rsidR="00F17D46" w:rsidRPr="00115997" w:rsidRDefault="00F17D46" w:rsidP="00B32B18">
            <w:pPr>
              <w:pStyle w:val="EYTableText"/>
              <w:rPr>
                <w:b/>
                <w:bCs/>
                <w:i/>
                <w:iCs/>
              </w:rPr>
            </w:pPr>
            <w:r w:rsidRPr="00115997">
              <w:rPr>
                <w:b/>
                <w:bCs/>
              </w:rPr>
              <w:t>Life satisfaction</w:t>
            </w:r>
          </w:p>
        </w:tc>
      </w:tr>
      <w:tr w:rsidR="00E25FC0" w14:paraId="07FFAF28" w14:textId="77777777" w:rsidTr="005F588A">
        <w:tc>
          <w:tcPr>
            <w:tcW w:w="2124" w:type="pct"/>
            <w:tcBorders>
              <w:right w:val="single" w:sz="4" w:space="0" w:color="auto"/>
            </w:tcBorders>
          </w:tcPr>
          <w:p w14:paraId="5F7FB5B3" w14:textId="6A69DFDD" w:rsidR="00E25FC0" w:rsidRDefault="00E25FC0" w:rsidP="00B32B18">
            <w:pPr>
              <w:pStyle w:val="EYTableText"/>
            </w:pPr>
            <w:r>
              <w:t>Cost of a one-point increase in life satisfaction per year</w:t>
            </w:r>
          </w:p>
        </w:tc>
        <w:tc>
          <w:tcPr>
            <w:tcW w:w="459" w:type="pct"/>
            <w:tcBorders>
              <w:left w:val="single" w:sz="4" w:space="0" w:color="auto"/>
            </w:tcBorders>
          </w:tcPr>
          <w:p w14:paraId="416A7AE7" w14:textId="3BAB67BD" w:rsidR="00E25FC0" w:rsidRDefault="00E25FC0" w:rsidP="00B32B18">
            <w:pPr>
              <w:pStyle w:val="EYTableText"/>
            </w:pPr>
            <w:r>
              <w:t>$26,419</w:t>
            </w:r>
          </w:p>
        </w:tc>
        <w:tc>
          <w:tcPr>
            <w:tcW w:w="2417" w:type="pct"/>
            <w:vMerge w:val="restart"/>
          </w:tcPr>
          <w:p w14:paraId="2CF9D8D2" w14:textId="5823404E" w:rsidR="00E25FC0" w:rsidRPr="00F36CF4" w:rsidRDefault="00AA7AAD" w:rsidP="00B32B18">
            <w:pPr>
              <w:pStyle w:val="EYTableText"/>
            </w:pPr>
            <w:r w:rsidRPr="00AA7AAD">
              <w:t xml:space="preserve">Vincent, J., McCarthy, D., Miller, H., Armstrong, K., Lacey, S., Lian, G., Qi, D., Richards, N., Berry, T. (2022). </w:t>
            </w:r>
            <w:r w:rsidRPr="00AA7AAD">
              <w:lastRenderedPageBreak/>
              <w:t xml:space="preserve">Research Report - The economic cost of violence, abuse, neglect and exploitation of people with disability. Taylor Fry. Commissioned by the Disability Royal Commission. </w:t>
            </w:r>
          </w:p>
        </w:tc>
      </w:tr>
      <w:tr w:rsidR="00E25FC0" w14:paraId="0F176601" w14:textId="77777777" w:rsidTr="005F588A">
        <w:tc>
          <w:tcPr>
            <w:tcW w:w="2124" w:type="pct"/>
            <w:tcBorders>
              <w:right w:val="single" w:sz="4" w:space="0" w:color="auto"/>
            </w:tcBorders>
          </w:tcPr>
          <w:p w14:paraId="79046C40" w14:textId="7FCEE5EA" w:rsidR="00E25FC0" w:rsidRDefault="00E25FC0" w:rsidP="00B32B18">
            <w:pPr>
              <w:pStyle w:val="EYTableText"/>
            </w:pPr>
            <w:r>
              <w:lastRenderedPageBreak/>
              <w:t>Life satisfaction impact of unemployment on person with disability</w:t>
            </w:r>
          </w:p>
        </w:tc>
        <w:tc>
          <w:tcPr>
            <w:tcW w:w="459" w:type="pct"/>
            <w:tcBorders>
              <w:left w:val="single" w:sz="4" w:space="0" w:color="auto"/>
            </w:tcBorders>
          </w:tcPr>
          <w:p w14:paraId="39B9C391" w14:textId="073C59D1" w:rsidR="00E25FC0" w:rsidRDefault="00E25FC0" w:rsidP="00B32B18">
            <w:pPr>
              <w:pStyle w:val="EYTableText"/>
            </w:pPr>
            <w:r>
              <w:t>-0.5 points</w:t>
            </w:r>
          </w:p>
        </w:tc>
        <w:tc>
          <w:tcPr>
            <w:tcW w:w="2417" w:type="pct"/>
            <w:vMerge/>
          </w:tcPr>
          <w:p w14:paraId="2690764E" w14:textId="77777777" w:rsidR="00E25FC0" w:rsidRPr="00F36CF4" w:rsidRDefault="00E25FC0" w:rsidP="00B32B18">
            <w:pPr>
              <w:pStyle w:val="EYTableText"/>
            </w:pPr>
          </w:p>
        </w:tc>
      </w:tr>
      <w:tr w:rsidR="00E25FC0" w14:paraId="59D20AE6" w14:textId="77777777" w:rsidTr="005F588A">
        <w:tc>
          <w:tcPr>
            <w:tcW w:w="2124" w:type="pct"/>
            <w:tcBorders>
              <w:right w:val="single" w:sz="4" w:space="0" w:color="auto"/>
            </w:tcBorders>
          </w:tcPr>
          <w:p w14:paraId="669EFD78" w14:textId="51E2006A" w:rsidR="00E25FC0" w:rsidRDefault="00DD0ADE" w:rsidP="00B32B18">
            <w:pPr>
              <w:pStyle w:val="EYTableText"/>
            </w:pPr>
            <w:r>
              <w:t>Annual impact on life satisfaction for persons with disability who do not complete Year 12</w:t>
            </w:r>
          </w:p>
        </w:tc>
        <w:tc>
          <w:tcPr>
            <w:tcW w:w="459" w:type="pct"/>
            <w:tcBorders>
              <w:left w:val="single" w:sz="4" w:space="0" w:color="auto"/>
            </w:tcBorders>
          </w:tcPr>
          <w:p w14:paraId="7C6EC40D" w14:textId="15A108F7" w:rsidR="00E25FC0" w:rsidRDefault="00DD0ADE" w:rsidP="00B32B18">
            <w:pPr>
              <w:pStyle w:val="EYTableText"/>
            </w:pPr>
            <w:r>
              <w:t>$2.1m</w:t>
            </w:r>
          </w:p>
        </w:tc>
        <w:tc>
          <w:tcPr>
            <w:tcW w:w="2417" w:type="pct"/>
          </w:tcPr>
          <w:p w14:paraId="4064104C" w14:textId="3A9F8D99" w:rsidR="00E25FC0" w:rsidRPr="00F36CF4" w:rsidRDefault="00DD0ADE" w:rsidP="00B32B18">
            <w:pPr>
              <w:pStyle w:val="EYTableText"/>
            </w:pPr>
            <w:r w:rsidRPr="00F36CF4">
              <w:t xml:space="preserve">Calculated by multiplying the number of children with disabilities receiving suspensions who do not complete Year 12, the decrease in life satisfaction </w:t>
            </w:r>
            <w:proofErr w:type="gramStart"/>
            <w:r w:rsidRPr="00F36CF4">
              <w:t>as a result of</w:t>
            </w:r>
            <w:proofErr w:type="gramEnd"/>
            <w:r w:rsidRPr="00F36CF4">
              <w:t xml:space="preserve"> unemployment, the cost of a one-point increase in life satisfaction</w:t>
            </w:r>
          </w:p>
        </w:tc>
      </w:tr>
    </w:tbl>
    <w:p w14:paraId="68233BB6" w14:textId="77777777" w:rsidR="000319EA" w:rsidRDefault="000319EA" w:rsidP="00460C1D">
      <w:pPr>
        <w:pStyle w:val="EYAppendixHeading2"/>
      </w:pPr>
    </w:p>
    <w:p w14:paraId="4AAE4C9B" w14:textId="6D6F7688" w:rsidR="00460C1D" w:rsidRDefault="00460C1D" w:rsidP="00460C1D">
      <w:pPr>
        <w:pStyle w:val="EYAppendixHeading2"/>
      </w:pPr>
      <w:r>
        <w:t xml:space="preserve">Further details on calculation approach – </w:t>
      </w:r>
      <w:r w:rsidR="00372A88">
        <w:t>Employment and income</w:t>
      </w:r>
      <w:r>
        <w:t xml:space="preserve"> costs</w:t>
      </w:r>
    </w:p>
    <w:p w14:paraId="1474100B" w14:textId="77777777" w:rsidR="00372A88" w:rsidRDefault="00372A88" w:rsidP="00460C1D">
      <w:pPr>
        <w:pStyle w:val="EYBodytextwithparaspace"/>
      </w:pPr>
      <w:r w:rsidRPr="00372A88">
        <w:t>The figure below outlines the calculation approach used to estimate longer term economic costs of lower employment and income from reduced Year 12 educational attainment.</w:t>
      </w:r>
    </w:p>
    <w:p w14:paraId="1922587B" w14:textId="262D8546" w:rsidR="0022481A" w:rsidRDefault="0022481A" w:rsidP="00091A55">
      <w:r w:rsidRPr="0022481A">
        <w:rPr>
          <w:noProof/>
        </w:rPr>
        <w:drawing>
          <wp:inline distT="0" distB="0" distL="0" distR="0" wp14:anchorId="22526985" wp14:editId="224F3CA5">
            <wp:extent cx="5761355" cy="26657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61355" cy="2665730"/>
                    </a:xfrm>
                    <a:prstGeom prst="rect">
                      <a:avLst/>
                    </a:prstGeom>
                    <a:noFill/>
                    <a:ln>
                      <a:noFill/>
                    </a:ln>
                  </pic:spPr>
                </pic:pic>
              </a:graphicData>
            </a:graphic>
          </wp:inline>
        </w:drawing>
      </w:r>
    </w:p>
    <w:p w14:paraId="4DA88698" w14:textId="77777777" w:rsidR="00470316" w:rsidRDefault="00470316" w:rsidP="00470316">
      <w:pPr>
        <w:pStyle w:val="EYBodytextwithparaspace"/>
      </w:pPr>
    </w:p>
    <w:p w14:paraId="232460F1" w14:textId="49A02610" w:rsidR="00470316" w:rsidRDefault="00470316" w:rsidP="00470316">
      <w:pPr>
        <w:pStyle w:val="EYAppendixHeading2"/>
      </w:pPr>
      <w:r>
        <w:t>Further details on calculation approach – Other long-term impacts</w:t>
      </w:r>
    </w:p>
    <w:p w14:paraId="572414CB" w14:textId="70FDA4CF" w:rsidR="00470316" w:rsidRDefault="00470316" w:rsidP="00470316">
      <w:pPr>
        <w:pStyle w:val="EYBodytextwithparaspace"/>
      </w:pPr>
      <w:r>
        <w:t xml:space="preserve">The figure below outlines the calculation approach used to estimate long term impacts on the costs associated with a decrease in life satisfaction resulting from increased unemployment. </w:t>
      </w:r>
    </w:p>
    <w:p w14:paraId="1ACC6F33" w14:textId="77777777" w:rsidR="00470316" w:rsidRDefault="00470316" w:rsidP="00470316">
      <w:pPr>
        <w:pStyle w:val="EYBodytextwithparaspace"/>
      </w:pPr>
      <w:r>
        <w:t xml:space="preserve">We have also estimated the number of young people with disability and suspensions who may be expected to have contact with the adult Justice custodial system as a result of their youth </w:t>
      </w:r>
      <w:proofErr w:type="gramStart"/>
      <w:r>
        <w:t>offending, but</w:t>
      </w:r>
      <w:proofErr w:type="gramEnd"/>
      <w:r>
        <w:t xml:space="preserve"> have not attempted to estimate the monetary impact due to gaps in the available data exploring the links between school suspensions and adult Justice system involvement. We note there are </w:t>
      </w:r>
      <w:proofErr w:type="gramStart"/>
      <w:r>
        <w:t>a number of</w:t>
      </w:r>
      <w:proofErr w:type="gramEnd"/>
      <w:r>
        <w:t xml:space="preserve"> studies which examine the extent to which Youth Justice system involvement is associated with adult Justice system involvement, and some which highlight the overrepresentation of people with specific disability types in the adult Justice system.</w:t>
      </w:r>
    </w:p>
    <w:p w14:paraId="45E601D8" w14:textId="1FE1216F" w:rsidR="00EA537C" w:rsidRDefault="00EA537C" w:rsidP="00470316">
      <w:pPr>
        <w:pStyle w:val="EYBodytextwithparaspace"/>
      </w:pPr>
      <w:r w:rsidRPr="00EA537C">
        <w:rPr>
          <w:noProof/>
        </w:rPr>
        <w:lastRenderedPageBreak/>
        <w:drawing>
          <wp:inline distT="0" distB="0" distL="0" distR="0" wp14:anchorId="2618E7F0" wp14:editId="67E0DE57">
            <wp:extent cx="5761355" cy="163195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61355" cy="1631950"/>
                    </a:xfrm>
                    <a:prstGeom prst="rect">
                      <a:avLst/>
                    </a:prstGeom>
                    <a:noFill/>
                    <a:ln>
                      <a:noFill/>
                    </a:ln>
                  </pic:spPr>
                </pic:pic>
              </a:graphicData>
            </a:graphic>
          </wp:inline>
        </w:drawing>
      </w:r>
    </w:p>
    <w:p w14:paraId="25E986DB" w14:textId="77777777" w:rsidR="0033014C" w:rsidRDefault="0033014C">
      <w:pPr>
        <w:autoSpaceDE/>
        <w:autoSpaceDN/>
        <w:adjustRightInd/>
      </w:pPr>
      <w:r>
        <w:br w:type="page"/>
      </w:r>
    </w:p>
    <w:p w14:paraId="47B9ABBB" w14:textId="0D321101" w:rsidR="00251C1A" w:rsidRDefault="00251C1A" w:rsidP="0005404C">
      <w:pPr>
        <w:pStyle w:val="EYAppendix"/>
      </w:pPr>
      <w:bookmarkStart w:id="22" w:name="_Ref158126682"/>
      <w:bookmarkStart w:id="23" w:name="_Ref158126700"/>
      <w:bookmarkStart w:id="24" w:name="_Toc165390915"/>
      <w:r>
        <w:lastRenderedPageBreak/>
        <w:t>Non</w:t>
      </w:r>
      <w:r w:rsidR="005A293A">
        <w:t>-</w:t>
      </w:r>
      <w:r>
        <w:t>quantifi</w:t>
      </w:r>
      <w:r w:rsidR="005A293A">
        <w:t>ed</w:t>
      </w:r>
      <w:r>
        <w:t xml:space="preserve"> </w:t>
      </w:r>
      <w:r w:rsidR="005A293A">
        <w:t>i</w:t>
      </w:r>
      <w:r w:rsidR="00747738">
        <w:t>mpacts</w:t>
      </w:r>
      <w:bookmarkEnd w:id="22"/>
      <w:bookmarkEnd w:id="23"/>
      <w:bookmarkEnd w:id="24"/>
    </w:p>
    <w:tbl>
      <w:tblPr>
        <w:tblStyle w:val="TableGrid"/>
        <w:tblW w:w="5000" w:type="pct"/>
        <w:tblLayout w:type="fixed"/>
        <w:tblLook w:val="04A0" w:firstRow="1" w:lastRow="0" w:firstColumn="1" w:lastColumn="0" w:noHBand="0" w:noVBand="1"/>
      </w:tblPr>
      <w:tblGrid>
        <w:gridCol w:w="1419"/>
        <w:gridCol w:w="3134"/>
        <w:gridCol w:w="4510"/>
      </w:tblGrid>
      <w:tr w:rsidR="00F903DF" w:rsidRPr="00E00D3A" w14:paraId="2C495253" w14:textId="77777777" w:rsidTr="00E00D3A">
        <w:trPr>
          <w:tblHeader/>
        </w:trPr>
        <w:tc>
          <w:tcPr>
            <w:tcW w:w="783" w:type="pct"/>
            <w:shd w:val="clear" w:color="auto" w:fill="A6A6A6" w:themeFill="background1" w:themeFillShade="A6"/>
          </w:tcPr>
          <w:p w14:paraId="413E4801" w14:textId="45227B5A" w:rsidR="00330A40" w:rsidRPr="00E00D3A" w:rsidRDefault="00330A40" w:rsidP="00715EFF">
            <w:pPr>
              <w:pStyle w:val="EYTableHeadingWhite"/>
            </w:pPr>
            <w:r w:rsidRPr="00E00D3A">
              <w:t>Category</w:t>
            </w:r>
          </w:p>
        </w:tc>
        <w:tc>
          <w:tcPr>
            <w:tcW w:w="1729" w:type="pct"/>
            <w:shd w:val="clear" w:color="auto" w:fill="A6A6A6" w:themeFill="background1" w:themeFillShade="A6"/>
          </w:tcPr>
          <w:p w14:paraId="63E53BFB" w14:textId="07116437" w:rsidR="00330A40" w:rsidRPr="00E00D3A" w:rsidRDefault="00330A40" w:rsidP="00715EFF">
            <w:pPr>
              <w:pStyle w:val="EYTableHeadingWhite"/>
            </w:pPr>
            <w:r w:rsidRPr="00E00D3A">
              <w:t>Description</w:t>
            </w:r>
          </w:p>
        </w:tc>
        <w:tc>
          <w:tcPr>
            <w:tcW w:w="2488" w:type="pct"/>
            <w:shd w:val="clear" w:color="auto" w:fill="A6A6A6" w:themeFill="background1" w:themeFillShade="A6"/>
          </w:tcPr>
          <w:p w14:paraId="6C3AF156" w14:textId="6C353494" w:rsidR="00330A40" w:rsidRPr="00E00D3A" w:rsidRDefault="00330A40" w:rsidP="00715EFF">
            <w:pPr>
              <w:pStyle w:val="EYTableHeadingWhite"/>
            </w:pPr>
            <w:r w:rsidRPr="00E00D3A">
              <w:t>Source</w:t>
            </w:r>
          </w:p>
        </w:tc>
      </w:tr>
      <w:tr w:rsidR="008D0C29" w:rsidRPr="00E00D3A" w14:paraId="099F9337" w14:textId="77777777" w:rsidTr="00715EFF">
        <w:tc>
          <w:tcPr>
            <w:tcW w:w="5000" w:type="pct"/>
            <w:gridSpan w:val="3"/>
            <w:shd w:val="clear" w:color="auto" w:fill="D0E7FA" w:themeFill="accent3" w:themeFillTint="33"/>
          </w:tcPr>
          <w:p w14:paraId="508496F2" w14:textId="10E1B902" w:rsidR="008D0C29" w:rsidRPr="00E00D3A" w:rsidRDefault="008D0C29" w:rsidP="00715EFF">
            <w:pPr>
              <w:pStyle w:val="EYTableText"/>
              <w:rPr>
                <w:b/>
                <w:bCs/>
              </w:rPr>
            </w:pPr>
            <w:r w:rsidRPr="00E00D3A">
              <w:rPr>
                <w:b/>
                <w:bCs/>
              </w:rPr>
              <w:t>Short term impacts</w:t>
            </w:r>
          </w:p>
        </w:tc>
      </w:tr>
      <w:tr w:rsidR="00767C25" w:rsidRPr="00E00D3A" w14:paraId="419D8201" w14:textId="77777777" w:rsidTr="00076A6A">
        <w:tc>
          <w:tcPr>
            <w:tcW w:w="783" w:type="pct"/>
            <w:shd w:val="clear" w:color="auto" w:fill="auto"/>
          </w:tcPr>
          <w:p w14:paraId="304D3633" w14:textId="3B4591C8" w:rsidR="00767C25" w:rsidRPr="00E00D3A" w:rsidRDefault="00F87712" w:rsidP="00715EFF">
            <w:pPr>
              <w:pStyle w:val="EYTableText"/>
            </w:pPr>
            <w:r w:rsidRPr="00E00D3A">
              <w:t>Mental health, subjective wellbeing and educational outcomes</w:t>
            </w:r>
          </w:p>
        </w:tc>
        <w:tc>
          <w:tcPr>
            <w:tcW w:w="1729" w:type="pct"/>
            <w:shd w:val="clear" w:color="auto" w:fill="auto"/>
          </w:tcPr>
          <w:p w14:paraId="1D251759" w14:textId="270C893D" w:rsidR="00767C25" w:rsidRPr="00E00D3A" w:rsidRDefault="00F87712" w:rsidP="00715EFF">
            <w:pPr>
              <w:pStyle w:val="EYTableText"/>
            </w:pPr>
            <w:proofErr w:type="gramStart"/>
            <w:r w:rsidRPr="00E00D3A">
              <w:t>A number of</w:t>
            </w:r>
            <w:proofErr w:type="gramEnd"/>
            <w:r w:rsidRPr="00E00D3A">
              <w:t xml:space="preserve"> studies drew on interviews and surveys of students who had been suspended to highlight that children and young people reported feeling increased levels of anxiety and depression as a result of social humiliation and isolation due to exclusion and suspension. </w:t>
            </w:r>
          </w:p>
        </w:tc>
        <w:tc>
          <w:tcPr>
            <w:tcW w:w="2488" w:type="pct"/>
            <w:shd w:val="clear" w:color="auto" w:fill="auto"/>
          </w:tcPr>
          <w:p w14:paraId="2FBADF07" w14:textId="77777777" w:rsidR="008D0C29" w:rsidRPr="00E00D3A" w:rsidRDefault="008D0C29" w:rsidP="00715EFF">
            <w:pPr>
              <w:pStyle w:val="EYTableText"/>
            </w:pPr>
            <w:r w:rsidRPr="00E00D3A">
              <w:t>Royal Commission into Violence, Abuse, Neglect and Exploitation of People with Disability (2021). Final Report - Volume 7: Inclusive education, employment and housing.</w:t>
            </w:r>
          </w:p>
          <w:p w14:paraId="2F0AEB42" w14:textId="77777777" w:rsidR="008D0C29" w:rsidRPr="00E00D3A" w:rsidRDefault="008D0C29" w:rsidP="00715EFF">
            <w:pPr>
              <w:pStyle w:val="EYTableText"/>
            </w:pPr>
            <w:r w:rsidRPr="00E00D3A">
              <w:t xml:space="preserve">Senate Education and Employment References Committee (2023). The issue of increasing disruption in Australian school classrooms: Interim report. Parliament of Australia. </w:t>
            </w:r>
          </w:p>
          <w:p w14:paraId="32FD7C7C" w14:textId="73474C57" w:rsidR="00767C25" w:rsidRPr="00E00D3A" w:rsidRDefault="008D0C29" w:rsidP="00715EFF">
            <w:pPr>
              <w:pStyle w:val="EYTableText"/>
            </w:pPr>
            <w:r w:rsidRPr="00E00D3A">
              <w:t>South Australian Commissioner for Children and Young People (2020). The Blame Game – The perspectives from South Australian children and young people on the causes and impacts of education exclusion and why we need to stop blaming children for system failure.</w:t>
            </w:r>
          </w:p>
        </w:tc>
      </w:tr>
      <w:tr w:rsidR="008D0C29" w:rsidRPr="00E00D3A" w14:paraId="6218F6ED" w14:textId="77777777" w:rsidTr="00076A6A">
        <w:tc>
          <w:tcPr>
            <w:tcW w:w="783" w:type="pct"/>
            <w:shd w:val="clear" w:color="auto" w:fill="auto"/>
          </w:tcPr>
          <w:p w14:paraId="119B0128" w14:textId="7D87602D" w:rsidR="008D0C29" w:rsidRPr="00E00D3A" w:rsidRDefault="008D0C29" w:rsidP="00715EFF">
            <w:pPr>
              <w:pStyle w:val="EYTableText"/>
            </w:pPr>
            <w:r w:rsidRPr="00E00D3A">
              <w:t>Other parent / carer employment and income impacts</w:t>
            </w:r>
          </w:p>
        </w:tc>
        <w:tc>
          <w:tcPr>
            <w:tcW w:w="1729" w:type="pct"/>
            <w:shd w:val="clear" w:color="auto" w:fill="auto"/>
          </w:tcPr>
          <w:p w14:paraId="0288280A" w14:textId="19676A2F" w:rsidR="008D0C29" w:rsidRPr="00E00D3A" w:rsidRDefault="008D0C29" w:rsidP="00715EFF">
            <w:pPr>
              <w:pStyle w:val="EYTableText"/>
            </w:pPr>
            <w:r w:rsidRPr="00E00D3A">
              <w:t>Pressure on parents/carers’ employment</w:t>
            </w:r>
          </w:p>
        </w:tc>
        <w:tc>
          <w:tcPr>
            <w:tcW w:w="2488" w:type="pct"/>
            <w:shd w:val="clear" w:color="auto" w:fill="auto"/>
          </w:tcPr>
          <w:p w14:paraId="4E1DBB8B" w14:textId="77777777" w:rsidR="006B0880" w:rsidRPr="00E00D3A" w:rsidRDefault="006B0880" w:rsidP="00715EFF">
            <w:pPr>
              <w:pStyle w:val="EYTableText"/>
            </w:pPr>
            <w:r w:rsidRPr="00E00D3A">
              <w:t>Royal Commission into Violence, Abuse, Neglect and Exploitation of People with Disability (2021). Final Report - Volume 7: Inclusive education, employment and housing.</w:t>
            </w:r>
          </w:p>
          <w:p w14:paraId="65B09EE8" w14:textId="77777777" w:rsidR="006B0880" w:rsidRPr="00E00D3A" w:rsidRDefault="006B0880" w:rsidP="00715EFF">
            <w:pPr>
              <w:pStyle w:val="EYTableText"/>
            </w:pPr>
            <w:r w:rsidRPr="00E00D3A">
              <w:t xml:space="preserve">South Australian Commissioner for Children and Young People (2020). The Blame Game – The perspectives from South Australian children and young people on the causes and impacts of education exclusion and why we need to stop blaming children for system failure. </w:t>
            </w:r>
          </w:p>
          <w:p w14:paraId="3C74A634" w14:textId="3F20B8CE" w:rsidR="008D0C29" w:rsidRPr="00E00D3A" w:rsidRDefault="006B0880" w:rsidP="00715EFF">
            <w:pPr>
              <w:pStyle w:val="EYTableText"/>
            </w:pPr>
            <w:r w:rsidRPr="00E00D3A">
              <w:t xml:space="preserve">Graham. L. “What does exclusionary discipline do and why should it only ever be used as a last resort.” Queensland University of Technology. The Centre for Inclusive Education. </w:t>
            </w:r>
          </w:p>
        </w:tc>
      </w:tr>
      <w:tr w:rsidR="006B0880" w:rsidRPr="00E00D3A" w14:paraId="0F2ADBF3" w14:textId="77777777" w:rsidTr="00076A6A">
        <w:tc>
          <w:tcPr>
            <w:tcW w:w="783" w:type="pct"/>
            <w:shd w:val="clear" w:color="auto" w:fill="auto"/>
          </w:tcPr>
          <w:p w14:paraId="1D4D00A9" w14:textId="0F2CA2D3" w:rsidR="006B0880" w:rsidRPr="00E00D3A" w:rsidRDefault="006B0880" w:rsidP="00715EFF">
            <w:pPr>
              <w:pStyle w:val="EYTableText"/>
            </w:pPr>
            <w:r w:rsidRPr="00E00D3A">
              <w:t>Impacts on teachers and school resources used to manage suspensions and associated responses</w:t>
            </w:r>
          </w:p>
        </w:tc>
        <w:tc>
          <w:tcPr>
            <w:tcW w:w="1729" w:type="pct"/>
            <w:shd w:val="clear" w:color="auto" w:fill="auto"/>
          </w:tcPr>
          <w:p w14:paraId="2E1F0633" w14:textId="7FF77505" w:rsidR="006B0880" w:rsidRPr="00E00D3A" w:rsidRDefault="006B0880" w:rsidP="00715EFF">
            <w:pPr>
              <w:pStyle w:val="EYTableText"/>
            </w:pPr>
            <w:r w:rsidRPr="00E00D3A">
              <w:t xml:space="preserve">Disciplinary responses and classroom disruption having adverse impact on </w:t>
            </w:r>
            <w:r w:rsidR="001B263D" w:rsidRPr="00E00D3A">
              <w:t>the wellbeing of teachers</w:t>
            </w:r>
          </w:p>
        </w:tc>
        <w:tc>
          <w:tcPr>
            <w:tcW w:w="2488" w:type="pct"/>
            <w:shd w:val="clear" w:color="auto" w:fill="auto"/>
          </w:tcPr>
          <w:p w14:paraId="07E6E383" w14:textId="77777777" w:rsidR="001B263D" w:rsidRPr="00E00D3A" w:rsidRDefault="001B263D" w:rsidP="00715EFF">
            <w:pPr>
              <w:pStyle w:val="EYTableText"/>
            </w:pPr>
            <w:r w:rsidRPr="00E00D3A">
              <w:t>Royal Commission into Violence, Abuse, Neglect and Exploitation of People with Disability (2021). Final Report - Volume 7: Inclusive education, employment and housing.</w:t>
            </w:r>
          </w:p>
          <w:p w14:paraId="773D8BD8" w14:textId="4738F267" w:rsidR="006B0880" w:rsidRPr="00E00D3A" w:rsidRDefault="001B263D" w:rsidP="00715EFF">
            <w:pPr>
              <w:pStyle w:val="EYTableText"/>
            </w:pPr>
            <w:r w:rsidRPr="00E00D3A">
              <w:t>Senate Education and Employment References Committee (2023). The issue of increasing disruption in Australian school classrooms: Interim report. Parliament of Australia.</w:t>
            </w:r>
          </w:p>
        </w:tc>
      </w:tr>
      <w:tr w:rsidR="000366B4" w:rsidRPr="00E00D3A" w14:paraId="0186D6FD" w14:textId="77777777" w:rsidTr="00715EFF">
        <w:tc>
          <w:tcPr>
            <w:tcW w:w="5000" w:type="pct"/>
            <w:gridSpan w:val="3"/>
            <w:shd w:val="clear" w:color="auto" w:fill="D0E7FA" w:themeFill="accent3" w:themeFillTint="33"/>
          </w:tcPr>
          <w:p w14:paraId="34677F2E" w14:textId="296982DA" w:rsidR="000366B4" w:rsidRPr="00E00D3A" w:rsidRDefault="000366B4" w:rsidP="00715EFF">
            <w:pPr>
              <w:pStyle w:val="EYTableText"/>
              <w:rPr>
                <w:b/>
                <w:bCs/>
              </w:rPr>
            </w:pPr>
            <w:r w:rsidRPr="00E00D3A">
              <w:rPr>
                <w:b/>
                <w:bCs/>
              </w:rPr>
              <w:t>Long term impacts</w:t>
            </w:r>
          </w:p>
        </w:tc>
      </w:tr>
      <w:tr w:rsidR="00FE6ED1" w:rsidRPr="00E00D3A" w14:paraId="3EE551DA" w14:textId="77777777" w:rsidTr="00076A6A">
        <w:tc>
          <w:tcPr>
            <w:tcW w:w="783" w:type="pct"/>
            <w:shd w:val="clear" w:color="auto" w:fill="auto"/>
          </w:tcPr>
          <w:p w14:paraId="5AE83B6F" w14:textId="2658E740" w:rsidR="00FE6ED1" w:rsidRPr="00E00D3A" w:rsidRDefault="00A219BA" w:rsidP="00715EFF">
            <w:pPr>
              <w:pStyle w:val="EYTableText"/>
            </w:pPr>
            <w:r w:rsidRPr="00E00D3A">
              <w:t>Mental health and subjective wellbeing</w:t>
            </w:r>
          </w:p>
        </w:tc>
        <w:tc>
          <w:tcPr>
            <w:tcW w:w="1729" w:type="pct"/>
            <w:shd w:val="clear" w:color="auto" w:fill="auto"/>
          </w:tcPr>
          <w:p w14:paraId="1A3CFE4F" w14:textId="338E6E40" w:rsidR="00FE6ED1" w:rsidRPr="00E00D3A" w:rsidRDefault="00A219BA" w:rsidP="00715EFF">
            <w:pPr>
              <w:pStyle w:val="EYTableText"/>
            </w:pPr>
            <w:r w:rsidRPr="00E00D3A">
              <w:t>The association between education attainment, employment and financial wellbeing with lifetime health outcomes</w:t>
            </w:r>
          </w:p>
        </w:tc>
        <w:tc>
          <w:tcPr>
            <w:tcW w:w="2488" w:type="pct"/>
            <w:shd w:val="clear" w:color="auto" w:fill="auto"/>
          </w:tcPr>
          <w:p w14:paraId="72170A39" w14:textId="77777777" w:rsidR="001F51D7" w:rsidRPr="00E00D3A" w:rsidRDefault="001F51D7" w:rsidP="00715EFF">
            <w:pPr>
              <w:pStyle w:val="EYTableText"/>
            </w:pPr>
            <w:r w:rsidRPr="00E00D3A">
              <w:t>Australian Institute of Health &amp; Welfare (2022). Health across socioeconomic groups. Sourced from https://www.aihw.gov.au/reports/australias-health/health-across-socioeconomic-groups.</w:t>
            </w:r>
          </w:p>
          <w:p w14:paraId="78F02557" w14:textId="77777777" w:rsidR="001F51D7" w:rsidRPr="00E00D3A" w:rsidRDefault="001F51D7" w:rsidP="00715EFF">
            <w:pPr>
              <w:pStyle w:val="EYTableText"/>
            </w:pPr>
            <w:r w:rsidRPr="00E00D3A">
              <w:t>Royal Commission into Violence, Abuse, Neglect and Exploitation of People with Disability (2023). Research Report – Economic cost of violence, abuse, neglect and exploitation of people with disability.</w:t>
            </w:r>
          </w:p>
          <w:p w14:paraId="2FD56588" w14:textId="77777777" w:rsidR="001F51D7" w:rsidRPr="00E00D3A" w:rsidRDefault="001F51D7" w:rsidP="00715EFF">
            <w:pPr>
              <w:pStyle w:val="EYTableText"/>
            </w:pPr>
            <w:r w:rsidRPr="00E00D3A">
              <w:t>Royal Commission into Violence, Abuse, Neglect and Exploitation of People with Disability (2021). Final Report - Volume 7: Inclusive education, employment and housing.</w:t>
            </w:r>
          </w:p>
          <w:p w14:paraId="30F4EAED" w14:textId="7F96880B" w:rsidR="00FE6ED1" w:rsidRPr="00E00D3A" w:rsidRDefault="001F51D7" w:rsidP="00715EFF">
            <w:pPr>
              <w:pStyle w:val="EYTableText"/>
            </w:pPr>
            <w:r w:rsidRPr="00E00D3A">
              <w:t xml:space="preserve">Obsuth, I., Madia, J. E., Murray, A. L., Thompson, I., &amp; Daniels, H. (2023). The impact of school exclusion in childhood on health and well-being outcomes in </w:t>
            </w:r>
            <w:r w:rsidRPr="00E00D3A">
              <w:lastRenderedPageBreak/>
              <w:t>adulthood: Estimating causal effects using inverse probability of treatment weighting. British Journal of Educational Psychology, 00, 1–14. https://doi.org/10.1111/bjep.12656</w:t>
            </w:r>
          </w:p>
        </w:tc>
      </w:tr>
      <w:tr w:rsidR="00CA3688" w:rsidRPr="00E00D3A" w14:paraId="0000B25B" w14:textId="77777777" w:rsidTr="00076A6A">
        <w:tc>
          <w:tcPr>
            <w:tcW w:w="783" w:type="pct"/>
            <w:shd w:val="clear" w:color="auto" w:fill="auto"/>
          </w:tcPr>
          <w:p w14:paraId="786A043B" w14:textId="602AF26E" w:rsidR="00CA3688" w:rsidRPr="00E00D3A" w:rsidRDefault="00CA3688" w:rsidP="00CA3688">
            <w:pPr>
              <w:pStyle w:val="EYTableText"/>
            </w:pPr>
            <w:r w:rsidRPr="000319EA">
              <w:lastRenderedPageBreak/>
              <w:t>Increased income support reliance</w:t>
            </w:r>
          </w:p>
        </w:tc>
        <w:tc>
          <w:tcPr>
            <w:tcW w:w="1729" w:type="pct"/>
            <w:shd w:val="clear" w:color="auto" w:fill="auto"/>
          </w:tcPr>
          <w:p w14:paraId="16314EA3" w14:textId="2A1BF4FB" w:rsidR="00CA3688" w:rsidRPr="00E00D3A" w:rsidRDefault="00CA3688" w:rsidP="00CA3688">
            <w:pPr>
              <w:pStyle w:val="EYTableText"/>
            </w:pPr>
            <w:r w:rsidRPr="000319EA">
              <w:t>Reduced employment and earnings from Y</w:t>
            </w:r>
            <w:r w:rsidRPr="00E00D3A">
              <w:t xml:space="preserve">ear </w:t>
            </w:r>
            <w:r w:rsidRPr="000319EA">
              <w:t xml:space="preserve">12 education non-attainment is likely to also be associated with increased income support reliance across the adult </w:t>
            </w:r>
            <w:r w:rsidR="00230E9C" w:rsidRPr="00E00D3A">
              <w:t>life course</w:t>
            </w:r>
            <w:r w:rsidRPr="000319EA">
              <w:t xml:space="preserve">. Income support payments are implicitly reflected in the earnings assumptions used to calculate individual </w:t>
            </w:r>
            <w:proofErr w:type="gramStart"/>
            <w:r w:rsidRPr="000319EA">
              <w:t>income  gaps</w:t>
            </w:r>
            <w:proofErr w:type="gramEnd"/>
            <w:r w:rsidRPr="000319EA">
              <w:t>.</w:t>
            </w:r>
          </w:p>
        </w:tc>
        <w:tc>
          <w:tcPr>
            <w:tcW w:w="2488" w:type="pct"/>
            <w:shd w:val="clear" w:color="auto" w:fill="auto"/>
          </w:tcPr>
          <w:p w14:paraId="7CA278C9" w14:textId="77777777" w:rsidR="00CA3688" w:rsidRPr="00E00D3A" w:rsidRDefault="00CA3688" w:rsidP="00CA3688">
            <w:pPr>
              <w:pStyle w:val="EYTableText"/>
            </w:pPr>
          </w:p>
        </w:tc>
      </w:tr>
      <w:tr w:rsidR="000366B4" w:rsidRPr="00E00D3A" w14:paraId="66A57F19" w14:textId="77777777" w:rsidTr="00076A6A">
        <w:tc>
          <w:tcPr>
            <w:tcW w:w="783" w:type="pct"/>
            <w:shd w:val="clear" w:color="auto" w:fill="auto"/>
          </w:tcPr>
          <w:p w14:paraId="0A22AAE3" w14:textId="698D16E9" w:rsidR="000366B4" w:rsidRPr="00E00D3A" w:rsidRDefault="00A219BA" w:rsidP="00715EFF">
            <w:pPr>
              <w:pStyle w:val="EYTableText"/>
            </w:pPr>
            <w:r w:rsidRPr="00E00D3A">
              <w:t>Life satisfaction and subjective wellbeing from unemployment</w:t>
            </w:r>
          </w:p>
        </w:tc>
        <w:tc>
          <w:tcPr>
            <w:tcW w:w="1729" w:type="pct"/>
            <w:shd w:val="clear" w:color="auto" w:fill="auto"/>
          </w:tcPr>
          <w:p w14:paraId="6F0289BF" w14:textId="72C7C837" w:rsidR="000366B4" w:rsidRPr="00E00D3A" w:rsidRDefault="001F51D7" w:rsidP="00715EFF">
            <w:pPr>
              <w:pStyle w:val="EYTableText"/>
            </w:pPr>
            <w:r w:rsidRPr="00E00D3A">
              <w:t>The analysis of the economic cost of violence, abuse, neglect and exploitation of people with disability</w:t>
            </w:r>
            <w:r w:rsidR="00384844" w:rsidRPr="00E00D3A">
              <w:t>. Extending their estimation approach on the value of subjective wellbeing (life satisfaction)</w:t>
            </w:r>
          </w:p>
        </w:tc>
        <w:tc>
          <w:tcPr>
            <w:tcW w:w="2488" w:type="pct"/>
            <w:shd w:val="clear" w:color="auto" w:fill="auto"/>
          </w:tcPr>
          <w:p w14:paraId="4F6B68EF" w14:textId="7D387CA2" w:rsidR="000366B4" w:rsidRPr="00E00D3A" w:rsidRDefault="001F51D7" w:rsidP="00715EFF">
            <w:pPr>
              <w:pStyle w:val="EYTableText"/>
            </w:pPr>
            <w:r w:rsidRPr="00E00D3A">
              <w:t>Royal Commission into Violence, Abuse, Neglect and Exploitation of People with Disability (2023). Research Report – Economic cost of violence, abuse, neglect and exploitation of people with disability.</w:t>
            </w:r>
          </w:p>
        </w:tc>
      </w:tr>
      <w:tr w:rsidR="00384844" w:rsidRPr="00E00D3A" w14:paraId="1D409D09" w14:textId="77777777" w:rsidTr="00076A6A">
        <w:tc>
          <w:tcPr>
            <w:tcW w:w="5000" w:type="pct"/>
            <w:gridSpan w:val="3"/>
            <w:shd w:val="clear" w:color="auto" w:fill="D0E7FA" w:themeFill="accent3" w:themeFillTint="33"/>
          </w:tcPr>
          <w:p w14:paraId="6D02BE04" w14:textId="245AD25E" w:rsidR="00384844" w:rsidRPr="00E00D3A" w:rsidRDefault="00384844" w:rsidP="00715EFF">
            <w:pPr>
              <w:pStyle w:val="EYTableText"/>
              <w:rPr>
                <w:b/>
                <w:bCs/>
              </w:rPr>
            </w:pPr>
            <w:r w:rsidRPr="00E00D3A">
              <w:rPr>
                <w:b/>
                <w:bCs/>
              </w:rPr>
              <w:t>Other impacts</w:t>
            </w:r>
          </w:p>
        </w:tc>
      </w:tr>
      <w:tr w:rsidR="00F903DF" w:rsidRPr="00E00D3A" w14:paraId="668117A2" w14:textId="77777777" w:rsidTr="00076A6A">
        <w:tc>
          <w:tcPr>
            <w:tcW w:w="783" w:type="pct"/>
          </w:tcPr>
          <w:p w14:paraId="28226993" w14:textId="77777777" w:rsidR="00330A40" w:rsidRPr="00E00D3A" w:rsidRDefault="00330A40" w:rsidP="00715EFF">
            <w:pPr>
              <w:pStyle w:val="EYTableText"/>
            </w:pPr>
            <w:r w:rsidRPr="00E00D3A">
              <w:t xml:space="preserve">Social </w:t>
            </w:r>
            <w:r w:rsidR="00076A6A" w:rsidRPr="00E00D3A">
              <w:t>s</w:t>
            </w:r>
            <w:r w:rsidRPr="00E00D3A">
              <w:t>upport</w:t>
            </w:r>
          </w:p>
          <w:p w14:paraId="3499B0C4" w14:textId="4B38E3B3" w:rsidR="00A01E12" w:rsidRPr="00E00D3A" w:rsidRDefault="00A01E12" w:rsidP="00715EFF">
            <w:pPr>
              <w:pStyle w:val="EYTableText"/>
            </w:pPr>
            <w:r w:rsidRPr="00E00D3A">
              <w:t>Mental health, subjective wellbeing and educational outcomes</w:t>
            </w:r>
          </w:p>
        </w:tc>
        <w:tc>
          <w:tcPr>
            <w:tcW w:w="1729" w:type="pct"/>
          </w:tcPr>
          <w:p w14:paraId="48009835" w14:textId="6E39A5C7" w:rsidR="00330A40" w:rsidRPr="00E00D3A" w:rsidRDefault="00330A40" w:rsidP="00715EFF">
            <w:pPr>
              <w:pStyle w:val="EYTableText"/>
              <w:rPr>
                <w:i/>
                <w:iCs/>
              </w:rPr>
            </w:pPr>
            <w:r w:rsidRPr="00E00D3A">
              <w:t xml:space="preserve">First person accounts from students who experienced suspension or exclusion: </w:t>
            </w:r>
            <w:r w:rsidRPr="00E00D3A">
              <w:rPr>
                <w:i/>
                <w:iCs/>
              </w:rPr>
              <w:t>“It made me question my future. I thought I was going nowhere”, “It was common for young people to say their families were angry, disappointed or let down” and “parents … reported feeling ill-informed and ill-equipped to respond to their child’s concerns”</w:t>
            </w:r>
          </w:p>
        </w:tc>
        <w:tc>
          <w:tcPr>
            <w:tcW w:w="2488" w:type="pct"/>
          </w:tcPr>
          <w:p w14:paraId="3F2B1487" w14:textId="75A6C9E8" w:rsidR="00FC47AF" w:rsidRPr="00E00D3A" w:rsidRDefault="00FC47AF" w:rsidP="00715EFF">
            <w:pPr>
              <w:pStyle w:val="EYTableText"/>
            </w:pPr>
            <w:r w:rsidRPr="00E00D3A">
              <w:t>Royal Commission into Violence, Abuse, Neglect and Exploitation of People with Disability. (2021). Public hearing 7 report - Barriers experienced by students with disability in accessing and obtaining a safe, quality and inclusive school education and consequent life course impacts. Accessed 24 April 2024. https://disability.royalcommission.gov.au/publications/report-public-hearing-7-barriers-experienced-students-disability-accessing-and-obtaining-safe-quality-and-inclusive-school-education-and-consequent-life-course-impacts</w:t>
            </w:r>
          </w:p>
          <w:p w14:paraId="59DBF634" w14:textId="6B8BA519" w:rsidR="00330A40" w:rsidRPr="00E00D3A" w:rsidRDefault="00620E94" w:rsidP="00715EFF">
            <w:pPr>
              <w:pStyle w:val="EYTableText"/>
            </w:pPr>
            <w:r w:rsidRPr="00E00D3A">
              <w:t>South Australian Commissioner for Children and Young People 2020 The Blame Game The perspectives of South Australian children and young people on the causes and impacts of education exclusion and why we need to stop blaming children for system failure.</w:t>
            </w:r>
          </w:p>
        </w:tc>
      </w:tr>
      <w:tr w:rsidR="00F903DF" w:rsidRPr="00E00D3A" w14:paraId="2DEB89EE" w14:textId="77777777" w:rsidTr="00076A6A">
        <w:tc>
          <w:tcPr>
            <w:tcW w:w="783" w:type="pct"/>
          </w:tcPr>
          <w:p w14:paraId="111F0057" w14:textId="700E7EC0" w:rsidR="00330A40" w:rsidRPr="00E00D3A" w:rsidRDefault="00330A40" w:rsidP="00715EFF">
            <w:pPr>
              <w:pStyle w:val="EYTableText"/>
            </w:pPr>
            <w:r w:rsidRPr="00E00D3A">
              <w:t>Income and Finance</w:t>
            </w:r>
          </w:p>
        </w:tc>
        <w:tc>
          <w:tcPr>
            <w:tcW w:w="1729" w:type="pct"/>
          </w:tcPr>
          <w:p w14:paraId="6F662831" w14:textId="49565C48" w:rsidR="00330A40" w:rsidRPr="00E00D3A" w:rsidRDefault="00330A40" w:rsidP="00715EFF">
            <w:pPr>
              <w:pStyle w:val="EYTableText"/>
            </w:pPr>
            <w:r w:rsidRPr="00E00D3A">
              <w:t>Pressure on parents/carers employment where reports are present where caregivers are having to cease or risk employment or leave their child unsupervised.</w:t>
            </w:r>
          </w:p>
        </w:tc>
        <w:tc>
          <w:tcPr>
            <w:tcW w:w="2488" w:type="pct"/>
          </w:tcPr>
          <w:p w14:paraId="3D20C9D3" w14:textId="0B58883E" w:rsidR="00330A40" w:rsidRPr="00E00D3A" w:rsidRDefault="00B455D4" w:rsidP="00715EFF">
            <w:pPr>
              <w:pStyle w:val="EYTableText"/>
            </w:pPr>
            <w:r w:rsidRPr="00E00D3A">
              <w:t>Graham. L. (2020). “What does exclusionary discipline do and why should it only ever be used as a last resort.” Queensland University of Technology. The Centre for Inclusive Education.</w:t>
            </w:r>
          </w:p>
        </w:tc>
      </w:tr>
      <w:tr w:rsidR="00F903DF" w:rsidRPr="00E00D3A" w14:paraId="673EF9B7" w14:textId="77777777" w:rsidTr="00076A6A">
        <w:tc>
          <w:tcPr>
            <w:tcW w:w="783" w:type="pct"/>
          </w:tcPr>
          <w:p w14:paraId="74E2600C" w14:textId="0EA58BBF" w:rsidR="00330A40" w:rsidRPr="00E00D3A" w:rsidRDefault="00330A40" w:rsidP="00715EFF">
            <w:pPr>
              <w:pStyle w:val="EYTableText"/>
            </w:pPr>
            <w:r w:rsidRPr="00E00D3A">
              <w:t>Education</w:t>
            </w:r>
          </w:p>
        </w:tc>
        <w:tc>
          <w:tcPr>
            <w:tcW w:w="1729" w:type="pct"/>
          </w:tcPr>
          <w:p w14:paraId="77F97B3E" w14:textId="0A2970D8" w:rsidR="00330A40" w:rsidRPr="00E00D3A" w:rsidRDefault="00330A40" w:rsidP="00715EFF">
            <w:pPr>
              <w:pStyle w:val="EYTableText"/>
            </w:pPr>
            <w:r w:rsidRPr="00E00D3A">
              <w:t xml:space="preserve">Students who disrupt class and </w:t>
            </w:r>
            <w:r w:rsidR="0093745B" w:rsidRPr="00E00D3A">
              <w:t xml:space="preserve">potentially other students in the class </w:t>
            </w:r>
            <w:r w:rsidRPr="00E00D3A">
              <w:t>impacted are more likely to have decreased academic achievement.</w:t>
            </w:r>
          </w:p>
        </w:tc>
        <w:tc>
          <w:tcPr>
            <w:tcW w:w="2488" w:type="pct"/>
          </w:tcPr>
          <w:p w14:paraId="38F9EE7D" w14:textId="57DE1456" w:rsidR="00330A40" w:rsidRPr="00E00D3A" w:rsidRDefault="00F26A13" w:rsidP="00715EFF">
            <w:pPr>
              <w:pStyle w:val="EYTableText"/>
            </w:pPr>
            <w:r w:rsidRPr="00E00D3A">
              <w:t>Cortes, K.E., Moussa</w:t>
            </w:r>
            <w:r w:rsidR="001E54BB" w:rsidRPr="00E00D3A">
              <w:t>, W.S., Weinstein, J.M., (2012). Making the grads: The Impacts of Classroom Disruption and Class Size on Academic Achievement</w:t>
            </w:r>
          </w:p>
        </w:tc>
      </w:tr>
      <w:tr w:rsidR="00F903DF" w:rsidRPr="00E00D3A" w14:paraId="5CF2E48B" w14:textId="77777777" w:rsidTr="00076A6A">
        <w:tc>
          <w:tcPr>
            <w:tcW w:w="783" w:type="pct"/>
          </w:tcPr>
          <w:p w14:paraId="0314B9BA" w14:textId="0F31AE74" w:rsidR="00330A40" w:rsidRPr="00E00D3A" w:rsidRDefault="00330A40" w:rsidP="00715EFF">
            <w:pPr>
              <w:pStyle w:val="EYTableText"/>
            </w:pPr>
            <w:r w:rsidRPr="00E00D3A">
              <w:t>Justice and Safety</w:t>
            </w:r>
          </w:p>
        </w:tc>
        <w:tc>
          <w:tcPr>
            <w:tcW w:w="1729" w:type="pct"/>
          </w:tcPr>
          <w:p w14:paraId="78300D15" w14:textId="3E955CC5" w:rsidR="00330A40" w:rsidRPr="00E00D3A" w:rsidRDefault="00330A40" w:rsidP="00715EFF">
            <w:pPr>
              <w:pStyle w:val="EYTableText"/>
            </w:pPr>
            <w:r w:rsidRPr="00E00D3A">
              <w:t>Students who disrupt class are more likely to have increased disciplinary issues.</w:t>
            </w:r>
          </w:p>
        </w:tc>
        <w:tc>
          <w:tcPr>
            <w:tcW w:w="2488" w:type="pct"/>
          </w:tcPr>
          <w:p w14:paraId="73915DC4" w14:textId="744984C2" w:rsidR="00330A40" w:rsidRPr="00E00D3A" w:rsidRDefault="00602D70" w:rsidP="00715EFF">
            <w:pPr>
              <w:pStyle w:val="EYTableText"/>
            </w:pPr>
            <w:r w:rsidRPr="00E00D3A">
              <w:t xml:space="preserve">McKee, G., Sims, K. R. E., &amp; Rivkin, S. G. (2014). Disruption, learning, and the heterogeneous benefits of smaller classes. Empirical Economics, 48(3), 1267–1286. </w:t>
            </w:r>
            <w:hyperlink r:id="rId33" w:history="1">
              <w:r w:rsidR="00580D8F" w:rsidRPr="00E00D3A">
                <w:rPr>
                  <w:rStyle w:val="Hyperlink"/>
                  <w:sz w:val="16"/>
                </w:rPr>
                <w:t>https://doi.org/10.1007/s00181-014-0810-1</w:t>
              </w:r>
            </w:hyperlink>
          </w:p>
          <w:p w14:paraId="0BAB4B10" w14:textId="77777777" w:rsidR="00580D8F" w:rsidRPr="00E00D3A" w:rsidRDefault="00580D8F" w:rsidP="00715EFF">
            <w:pPr>
              <w:pStyle w:val="EYTableText"/>
            </w:pPr>
            <w:r w:rsidRPr="00E00D3A">
              <w:t>Mowen TJ, Brent JJ, Boman JH 4th. The Effect of School Discipline on Offending across Time. Justice Q. 2020;37(4):739-760. doi: 10.1080/07418825.2019.1625428. Epub 2019 Jul 12. PMID: 34262239; PMCID: PMC8277153.</w:t>
            </w:r>
          </w:p>
          <w:p w14:paraId="6672CB6C" w14:textId="1B7A8111" w:rsidR="00B23AFA" w:rsidRPr="00E00D3A" w:rsidRDefault="00B23AFA" w:rsidP="00715EFF">
            <w:pPr>
              <w:pStyle w:val="EYTableText"/>
            </w:pPr>
            <w:r w:rsidRPr="00E00D3A">
              <w:lastRenderedPageBreak/>
              <w:t>Hemphill, S., Broderick, D., &amp; Heerde, J. (2017). Positive associations between school suspension and student problem behaviour: Recent Australian findings. Trends &amp; issues in crime and criminal justice no. 531. Canberra: Australian Institute of Criminology. https://doi.org/10.52922/ti134505</w:t>
            </w:r>
          </w:p>
        </w:tc>
      </w:tr>
      <w:tr w:rsidR="001E2A5B" w:rsidRPr="00E00D3A" w14:paraId="56A86D9E" w14:textId="77777777" w:rsidTr="00076A6A">
        <w:tc>
          <w:tcPr>
            <w:tcW w:w="783" w:type="pct"/>
          </w:tcPr>
          <w:p w14:paraId="15E4D4D3" w14:textId="7C5EB6D2" w:rsidR="001E2A5B" w:rsidRPr="00E00D3A" w:rsidRDefault="001E2A5B" w:rsidP="00715EFF">
            <w:pPr>
              <w:pStyle w:val="EYTableText"/>
            </w:pPr>
            <w:r w:rsidRPr="00E00D3A">
              <w:lastRenderedPageBreak/>
              <w:t>Health</w:t>
            </w:r>
          </w:p>
        </w:tc>
        <w:tc>
          <w:tcPr>
            <w:tcW w:w="1729" w:type="pct"/>
          </w:tcPr>
          <w:p w14:paraId="7649FF4D" w14:textId="41A4C01F" w:rsidR="001E2A5B" w:rsidRPr="00E00D3A" w:rsidRDefault="001E2A5B" w:rsidP="00715EFF">
            <w:pPr>
              <w:pStyle w:val="EYTableText"/>
            </w:pPr>
            <w:r w:rsidRPr="00E00D3A">
              <w:t>Individuals who experience suspensions are more likely to have health problems</w:t>
            </w:r>
            <w:r w:rsidR="0093745B" w:rsidRPr="00E00D3A">
              <w:t xml:space="preserve"> into young adulthood.</w:t>
            </w:r>
          </w:p>
        </w:tc>
        <w:tc>
          <w:tcPr>
            <w:tcW w:w="2488" w:type="pct"/>
          </w:tcPr>
          <w:p w14:paraId="75DC0B0A" w14:textId="2A6492E8" w:rsidR="001E2A5B" w:rsidRPr="00E00D3A" w:rsidRDefault="000B251C" w:rsidP="00715EFF">
            <w:pPr>
              <w:pStyle w:val="EYTableText"/>
            </w:pPr>
            <w:r w:rsidRPr="00E00D3A">
              <w:t xml:space="preserve">Rumberger, R. W, &amp; Losen, D. J. (2016). The High Cost </w:t>
            </w:r>
            <w:proofErr w:type="gramStart"/>
            <w:r w:rsidRPr="00E00D3A">
              <w:t>Of</w:t>
            </w:r>
            <w:proofErr w:type="gramEnd"/>
            <w:r w:rsidRPr="00E00D3A">
              <w:t xml:space="preserve"> Harsh Discipline And Its Disparate Impact. UCLA: The Civil Rights Project / Proyecto Derechos Civiles. Retrieved from </w:t>
            </w:r>
            <w:hyperlink r:id="rId34" w:history="1">
              <w:r w:rsidRPr="00E00D3A">
                <w:rPr>
                  <w:rStyle w:val="Hyperlink"/>
                  <w:sz w:val="16"/>
                </w:rPr>
                <w:t>https://escholarship.org/uc/item/85m2m6sj</w:t>
              </w:r>
            </w:hyperlink>
          </w:p>
          <w:p w14:paraId="0FD417F9" w14:textId="5401AEFE" w:rsidR="00C92C24" w:rsidRPr="00E00D3A" w:rsidRDefault="000B251C" w:rsidP="00715EFF">
            <w:pPr>
              <w:pStyle w:val="EYTableText"/>
            </w:pPr>
            <w:r w:rsidRPr="00E00D3A">
              <w:t xml:space="preserve">Obsuth, I., Madia, J. E., Murray, A. L., Thompson, I., &amp; Daniels, H. (2024). The impact of school exclusion in childhood on health and well-being outcomes in adulthood: Estimating causal effects using inverse probability of treatment weighting. British Journal of Educational Psychology, 94, 460–473. </w:t>
            </w:r>
            <w:hyperlink r:id="rId35" w:history="1">
              <w:r w:rsidR="00C92C24" w:rsidRPr="00E00D3A">
                <w:rPr>
                  <w:rStyle w:val="Hyperlink"/>
                  <w:sz w:val="16"/>
                </w:rPr>
                <w:t>https://doi.org/10.1111/bjep.12656</w:t>
              </w:r>
            </w:hyperlink>
          </w:p>
        </w:tc>
      </w:tr>
    </w:tbl>
    <w:p w14:paraId="1CCF2980" w14:textId="77777777" w:rsidR="00747738" w:rsidRDefault="00747738" w:rsidP="00747738">
      <w:pPr>
        <w:pStyle w:val="EYBodytextwithparaspace"/>
      </w:pPr>
    </w:p>
    <w:p w14:paraId="545CFFF7" w14:textId="0ED496E7" w:rsidR="00455216" w:rsidRDefault="00455216">
      <w:pPr>
        <w:autoSpaceDE/>
        <w:autoSpaceDN/>
        <w:adjustRightInd/>
      </w:pPr>
      <w:r>
        <w:br w:type="page"/>
      </w:r>
    </w:p>
    <w:p w14:paraId="0CADCC2D" w14:textId="1DB16337" w:rsidR="00455216" w:rsidRDefault="00455216" w:rsidP="00AD4EE4">
      <w:pPr>
        <w:pStyle w:val="EYAppendix"/>
      </w:pPr>
      <w:bookmarkStart w:id="25" w:name="_Toc165390916"/>
      <w:r>
        <w:lastRenderedPageBreak/>
        <w:t>References</w:t>
      </w:r>
      <w:bookmarkEnd w:id="25"/>
    </w:p>
    <w:p w14:paraId="1394674E" w14:textId="67A3B0F0" w:rsidR="00CC447F" w:rsidRDefault="00CC447F" w:rsidP="008B7C9B">
      <w:pPr>
        <w:pStyle w:val="Bibliography"/>
        <w:spacing w:after="60"/>
        <w:ind w:left="425" w:hanging="425"/>
      </w:pPr>
      <w:r>
        <w:t>Australian Bureau of Statistics. (2018). Disability, Ageing and Carers, Australia: Summary of Findings. ABS. Accessed 24 April 2024. https://www.abs.gov.au/statistics/health/disability/disability-ageing-and-carers-australia-summary-findings/latest-release.</w:t>
      </w:r>
    </w:p>
    <w:p w14:paraId="3F4BE8D0" w14:textId="77777777" w:rsidR="00CC447F" w:rsidRDefault="00CC447F" w:rsidP="008B7C9B">
      <w:pPr>
        <w:pStyle w:val="Bibliography"/>
        <w:spacing w:after="60"/>
        <w:ind w:left="425" w:hanging="425"/>
      </w:pPr>
      <w:r>
        <w:t>Australian Bureau of Statistics. (2019-20). Household Income and Wealth, Australia. ABS. https://www.abs.gov.au/statistics/economy/finance/household-income-and-wealth-australia/latest-release.</w:t>
      </w:r>
    </w:p>
    <w:p w14:paraId="5E2F465B" w14:textId="77777777" w:rsidR="00CC447F" w:rsidRDefault="00CC447F" w:rsidP="008B7C9B">
      <w:pPr>
        <w:pStyle w:val="Bibliography"/>
        <w:spacing w:after="60"/>
        <w:ind w:left="425" w:hanging="425"/>
      </w:pPr>
      <w:r>
        <w:t>Australian Bureau of Statistics. (2020). Disability and the labour force. ABS. https://www.abs.gov.au/articles/disability-and-labour-force.</w:t>
      </w:r>
    </w:p>
    <w:p w14:paraId="56AB063F" w14:textId="77777777" w:rsidR="00CC447F" w:rsidRDefault="00CC447F" w:rsidP="008B7C9B">
      <w:pPr>
        <w:pStyle w:val="Bibliography"/>
        <w:spacing w:after="60"/>
        <w:ind w:left="425" w:hanging="425"/>
      </w:pPr>
      <w:r>
        <w:t>Australian Bureau of Statistics. (2023). Schools. ABS. https://www.abs.gov.au/statistics/people/education/schools/latest-release.</w:t>
      </w:r>
    </w:p>
    <w:p w14:paraId="7A1B7C05" w14:textId="77777777" w:rsidR="00CC447F" w:rsidRDefault="00CC447F" w:rsidP="008B7C9B">
      <w:pPr>
        <w:pStyle w:val="Bibliography"/>
        <w:spacing w:after="60"/>
        <w:ind w:left="425" w:hanging="425"/>
      </w:pPr>
      <w:r>
        <w:t>Australian Institute of Health &amp; Welfare (2022). Health across socioeconomic groups. Sourced from https://www.aihw.gov.au/reports/australias-health/health-across-socioeconomic-groups.</w:t>
      </w:r>
    </w:p>
    <w:p w14:paraId="0B71C38E" w14:textId="77777777" w:rsidR="00CC447F" w:rsidRDefault="00CC447F" w:rsidP="008B7C9B">
      <w:pPr>
        <w:pStyle w:val="Bibliography"/>
        <w:spacing w:after="60"/>
        <w:ind w:left="425" w:hanging="425"/>
      </w:pPr>
      <w:r>
        <w:t>Australian Institute of Health and Welfare (2022) People with disability in Australia 2022, catalogue number DIS 72, AIHW, Australian Government.</w:t>
      </w:r>
    </w:p>
    <w:p w14:paraId="2667DC41" w14:textId="77777777" w:rsidR="00CC447F" w:rsidRDefault="00CC447F" w:rsidP="008B7C9B">
      <w:pPr>
        <w:pStyle w:val="Bibliography"/>
        <w:spacing w:after="60"/>
        <w:ind w:left="425" w:hanging="425"/>
      </w:pPr>
      <w:r>
        <w:t>Australian Institute of Health and Welfare (2022). Young people returning to sentenced youth justice supervision, 2021-22.</w:t>
      </w:r>
    </w:p>
    <w:p w14:paraId="79796FE5" w14:textId="77777777" w:rsidR="00CC447F" w:rsidRDefault="00CC447F" w:rsidP="008B7C9B">
      <w:pPr>
        <w:pStyle w:val="Bibliography"/>
        <w:spacing w:after="60"/>
        <w:ind w:left="425" w:hanging="425"/>
      </w:pPr>
      <w:r>
        <w:t>Australian Institute of Health and Welfare (2022). Youth Justice in Australia 2021-22.</w:t>
      </w:r>
    </w:p>
    <w:p w14:paraId="2ECDCC56" w14:textId="0C0F0D61" w:rsidR="00044548" w:rsidRPr="00044548" w:rsidRDefault="00044548" w:rsidP="00044548">
      <w:pPr>
        <w:pStyle w:val="Bibliography"/>
        <w:spacing w:after="60"/>
        <w:ind w:left="425" w:hanging="425"/>
      </w:pPr>
      <w:r>
        <w:t>Australian Institute of Health and Welfare (2023). Youth Justice in Australia 2022-23.</w:t>
      </w:r>
    </w:p>
    <w:p w14:paraId="42C68C91" w14:textId="3C8CEFE9" w:rsidR="00CC447F" w:rsidRDefault="00CC447F" w:rsidP="008B7C9B">
      <w:pPr>
        <w:pStyle w:val="Bibliography"/>
        <w:spacing w:after="60"/>
        <w:ind w:left="425" w:hanging="425"/>
      </w:pPr>
      <w:r>
        <w:t>Australian Institute of Health and Welfare. (2023). The health of people in Australia's prisons 2022.</w:t>
      </w:r>
    </w:p>
    <w:p w14:paraId="560B7190" w14:textId="730B475F" w:rsidR="00CC447F" w:rsidRDefault="00CC447F" w:rsidP="008B7C9B">
      <w:pPr>
        <w:pStyle w:val="Bibliography"/>
        <w:spacing w:after="60"/>
        <w:ind w:left="425" w:hanging="425"/>
      </w:pPr>
      <w:r>
        <w:t>Black, R. &amp; Education Foundation Australia. (2007). Crossing the bridge: overcoming entrenched disadvantage through student-centred learning. https://catalogue.nla.gov.au/catalog/4202289</w:t>
      </w:r>
    </w:p>
    <w:p w14:paraId="101087D1" w14:textId="77777777" w:rsidR="00CC447F" w:rsidRDefault="00CC447F" w:rsidP="008B7C9B">
      <w:pPr>
        <w:pStyle w:val="Bibliography"/>
        <w:spacing w:after="60"/>
        <w:ind w:left="425" w:hanging="425"/>
      </w:pPr>
      <w:r>
        <w:t xml:space="preserve">Boiteux, S. &amp; Poynton, S. (2023). Offending by young people with disability: </w:t>
      </w:r>
      <w:proofErr w:type="gramStart"/>
      <w:r>
        <w:t>A</w:t>
      </w:r>
      <w:proofErr w:type="gramEnd"/>
      <w:r>
        <w:t xml:space="preserve"> NSW linkage study (Crime and Justice Bulletin No. 254). Sydney: NSW Bureau of Crime Statistics and Research. https://www.bocsar.nsw.gov.au/Publications/CJB/2022-Report-Offending-by-young-people-with-disability-CJB254.pdf</w:t>
      </w:r>
    </w:p>
    <w:p w14:paraId="653722FB" w14:textId="77777777" w:rsidR="00CC447F" w:rsidRDefault="00CC447F" w:rsidP="008B7C9B">
      <w:pPr>
        <w:pStyle w:val="Bibliography"/>
        <w:spacing w:after="60"/>
        <w:ind w:left="425" w:hanging="425"/>
      </w:pPr>
      <w:r>
        <w:t>Bruininks, V. L. (1978). Peer Status and Personality Characteristics of Learning Disabled and Nondisabled Students. Journal of Learning Disabilities, 11(8), 484–489. https://doi.org/10.1177/002221947801100804</w:t>
      </w:r>
    </w:p>
    <w:p w14:paraId="0F45F105" w14:textId="77777777" w:rsidR="00CC447F" w:rsidRDefault="00CC447F" w:rsidP="008B7C9B">
      <w:pPr>
        <w:pStyle w:val="Bibliography"/>
        <w:spacing w:after="60"/>
        <w:ind w:left="425" w:hanging="425"/>
      </w:pPr>
      <w:r>
        <w:t>Chen, S., Matruglio, T., Weatherburn, D., Hua, J. (2005). The transition from juvenile to adult criminal careers (Crime and Justice Bulletin No. 86). Sydney: NSW Bureau of Crime Statistics and Research. https://www.bocsar.nsw.gov.au/Publications/CJB/cjb86.pdf</w:t>
      </w:r>
    </w:p>
    <w:p w14:paraId="093C0DA2" w14:textId="77777777" w:rsidR="00CC447F" w:rsidRDefault="00CC447F" w:rsidP="008B7C9B">
      <w:pPr>
        <w:pStyle w:val="Bibliography"/>
        <w:spacing w:after="60"/>
        <w:ind w:left="425" w:hanging="425"/>
      </w:pPr>
      <w:r>
        <w:t>Cobb-Clark, D. A., Kassenboehmer, S. C., Le, T., McVicar, D., &amp; Zhang, R. (2015). Is there an educational penalty for being suspended from school? Education Economics, 23(4), 376–395. https://doi.org/10.1080/09645292.2014.980398</w:t>
      </w:r>
    </w:p>
    <w:p w14:paraId="5FE3B7E5" w14:textId="77777777" w:rsidR="00CC447F" w:rsidRDefault="00CC447F" w:rsidP="008B7C9B">
      <w:pPr>
        <w:pStyle w:val="Bibliography"/>
        <w:spacing w:after="60"/>
        <w:ind w:left="425" w:hanging="425"/>
      </w:pPr>
      <w:r>
        <w:t>Commonwealth Department of Education. (2016). Benefits of educational attainment: Income analysis factsheet. Accessed 24 April 2024. https://www.education.gov.au/node/4633</w:t>
      </w:r>
    </w:p>
    <w:p w14:paraId="3E12C74D" w14:textId="77777777" w:rsidR="00CC447F" w:rsidRDefault="00CC447F" w:rsidP="008B7C9B">
      <w:pPr>
        <w:pStyle w:val="Bibliography"/>
        <w:spacing w:after="60"/>
        <w:ind w:left="425" w:hanging="425"/>
      </w:pPr>
      <w:r>
        <w:t>Connolly, H. - Commissioner for Children and Young People SA. (2020). The Blame Game – The perspectives from South Australian children and young people on the causes and impacts of education exclusion and why we need to stop blaming children for system failure.</w:t>
      </w:r>
    </w:p>
    <w:p w14:paraId="71749928" w14:textId="77777777" w:rsidR="00CC447F" w:rsidRDefault="00CC447F" w:rsidP="008B7C9B">
      <w:pPr>
        <w:pStyle w:val="Bibliography"/>
        <w:spacing w:after="60"/>
        <w:ind w:left="425" w:hanging="425"/>
      </w:pPr>
      <w:r>
        <w:t>Cortes, K.E., Moussa, W.S., Weinstein, J.M., (2012). Making the grads: The Impacts of Classroom Disruption and Class Size on Academic Achievement</w:t>
      </w:r>
    </w:p>
    <w:p w14:paraId="2124789D" w14:textId="77777777" w:rsidR="00CC447F" w:rsidRDefault="00CC447F" w:rsidP="008B7C9B">
      <w:pPr>
        <w:pStyle w:val="Bibliography"/>
        <w:spacing w:after="60"/>
        <w:ind w:left="425" w:hanging="425"/>
      </w:pPr>
      <w:r>
        <w:t xml:space="preserve">Dean, K. et al. (2021) Incidence of Early Police Contact Among Children </w:t>
      </w:r>
      <w:proofErr w:type="gramStart"/>
      <w:r>
        <w:t>With</w:t>
      </w:r>
      <w:proofErr w:type="gramEnd"/>
      <w:r>
        <w:t xml:space="preserve"> Emerging Mental Health Problems in Australia. Sourced from 10.1001/jamanetworkopen.2021.12057</w:t>
      </w:r>
    </w:p>
    <w:p w14:paraId="0F33D3DD" w14:textId="3B3172BB" w:rsidR="00CC447F" w:rsidRDefault="00CC447F" w:rsidP="008B7C9B">
      <w:pPr>
        <w:pStyle w:val="Bibliography"/>
        <w:spacing w:after="60"/>
        <w:ind w:left="425" w:hanging="425"/>
      </w:pPr>
      <w:r>
        <w:t>Deloitte Access Economics. (2017). Review of education for students with disability in Queensland state schools. Commissioned by Queensland Department of Education &amp; Training. https://education.qld.gov.au/student/Documents/disability-review-report.pdf</w:t>
      </w:r>
    </w:p>
    <w:p w14:paraId="52537AEF" w14:textId="77777777" w:rsidR="00CC447F" w:rsidRDefault="00CC447F" w:rsidP="008B7C9B">
      <w:pPr>
        <w:pStyle w:val="Bibliography"/>
        <w:spacing w:after="60"/>
        <w:ind w:left="425" w:hanging="425"/>
      </w:pPr>
      <w:r>
        <w:lastRenderedPageBreak/>
        <w:t>Graham, L., McCarthy, T., Killingly, C., Tancredi, H., Poed, S. (2020). Inquiry into Suspension, Exclusion and Expulsion Processes in South Australian government schools: Final Report. The Centre for Inclusive Education, QUT: Brisbane, QLD.</w:t>
      </w:r>
    </w:p>
    <w:p w14:paraId="679FFEC2" w14:textId="77777777" w:rsidR="00CC447F" w:rsidRDefault="00CC447F" w:rsidP="008B7C9B">
      <w:pPr>
        <w:pStyle w:val="Bibliography"/>
        <w:spacing w:after="60"/>
        <w:ind w:left="425" w:hanging="425"/>
      </w:pPr>
      <w:r>
        <w:t xml:space="preserve">Graham. L. (2020). “What does exclusionary discipline do and why should it only ever be used as a last resort.” Queensland University of Technology. The Centre for Inclusive Education. </w:t>
      </w:r>
    </w:p>
    <w:p w14:paraId="7FFD53CE" w14:textId="77777777" w:rsidR="00CC447F" w:rsidRDefault="00CC447F" w:rsidP="008B7C9B">
      <w:pPr>
        <w:pStyle w:val="Bibliography"/>
        <w:spacing w:after="60"/>
        <w:ind w:left="425" w:hanging="425"/>
      </w:pPr>
      <w:r>
        <w:t>Hemphill, S., Broderick, D., &amp; Heerde, J. (2017). Positive associations between school suspension and student problem behaviour: Recent Australian findings. Trends &amp; issues in crime and criminal justice no. 531. Canberra: Australian Institute of Criminology. https://doi.org/10.52922/ti134505</w:t>
      </w:r>
    </w:p>
    <w:p w14:paraId="3485054A" w14:textId="77777777" w:rsidR="00CC447F" w:rsidRDefault="00CC447F" w:rsidP="008B7C9B">
      <w:pPr>
        <w:pStyle w:val="Bibliography"/>
        <w:spacing w:after="60"/>
        <w:ind w:left="425" w:hanging="425"/>
      </w:pPr>
      <w:r>
        <w:t>Houng, B., &amp; Justman, M. (2014). NAPLAN Scores as Predictors of Access to Higher Education in Victoria. Melbourne Institute Working Paper No. 22/14. Commissioned by the Victorian Department of Education and Early Childhood Development (DEECD). 10.2139/ssrn.2519864.</w:t>
      </w:r>
    </w:p>
    <w:p w14:paraId="6E28C0AC" w14:textId="6C8EBE8F" w:rsidR="00CC447F" w:rsidRDefault="00CC447F" w:rsidP="008B7C9B">
      <w:pPr>
        <w:pStyle w:val="Bibliography"/>
        <w:spacing w:after="60"/>
        <w:ind w:left="425" w:hanging="425"/>
      </w:pPr>
      <w:r>
        <w:t xml:space="preserve">Lamb, S. &amp; Huo, S. (2017). Counting the costs of lost opportunity in Australian education. Mitchell Institute </w:t>
      </w:r>
      <w:proofErr w:type="gramStart"/>
      <w:r>
        <w:t>report  No.</w:t>
      </w:r>
      <w:proofErr w:type="gramEnd"/>
      <w:r>
        <w:t xml:space="preserve"> 02/2017. Mitchell Institute, Melbourne. https://content.vu.edu.au/sites/default/files/media/counting-the-costs-of-lost-opportunity-in-aus-education-mitchell-institute.pdf</w:t>
      </w:r>
    </w:p>
    <w:p w14:paraId="2C7469B1" w14:textId="77777777" w:rsidR="00CC447F" w:rsidRDefault="00CC447F" w:rsidP="008B7C9B">
      <w:pPr>
        <w:pStyle w:val="Bibliography"/>
        <w:spacing w:after="60"/>
        <w:ind w:left="425" w:hanging="425"/>
      </w:pPr>
      <w:r>
        <w:t>Madia, J.E., Obsuth, I., Thompson, I., Daniels, H. and Murray, A.L. (2022), Long-term labour market and economic consequences of school exclusions in England: Evidence from two counterfactual approaches. Br J Educ Psychol, 92: 801-816. https://doi.org/10.1111/bjep.12487</w:t>
      </w:r>
    </w:p>
    <w:p w14:paraId="090771AA" w14:textId="77777777" w:rsidR="00CC447F" w:rsidRDefault="00CC447F" w:rsidP="008B7C9B">
      <w:pPr>
        <w:pStyle w:val="Bibliography"/>
        <w:spacing w:after="60"/>
        <w:ind w:left="425" w:hanging="425"/>
      </w:pPr>
      <w:r>
        <w:t>McKee, G., Sims, K. R. E., &amp; Rivkin, S. G. (2014). Disruption, learning, and the heterogeneous benefits of smaller classes. Empirical Economics, 48(3), 1267–1286. https://doi.org/10.1007/s00181-014-0810-1</w:t>
      </w:r>
    </w:p>
    <w:p w14:paraId="7DA0295F" w14:textId="021B4E12" w:rsidR="00CC447F" w:rsidRDefault="00CC447F" w:rsidP="008B7C9B">
      <w:pPr>
        <w:pStyle w:val="Bibliography"/>
        <w:spacing w:after="60"/>
        <w:ind w:left="425" w:hanging="425"/>
      </w:pPr>
      <w:r>
        <w:t>Moskos, M., Isherwood, L., Smith, L. (2021). NDDA Education to Employment South Australia (SA) test case: qualitative research into lived experience to support quantitative analysis - High Level Findings Summary. https://www.ndda.gov.au/wp-content/uploads/2022/09/14-Summary-of-NDDA-Pilot-findings-Education-to-Employment.pdf</w:t>
      </w:r>
    </w:p>
    <w:p w14:paraId="04601E92" w14:textId="77777777" w:rsidR="00CC447F" w:rsidRDefault="00CC447F" w:rsidP="008B7C9B">
      <w:pPr>
        <w:pStyle w:val="Bibliography"/>
        <w:spacing w:after="60"/>
        <w:ind w:left="425" w:hanging="425"/>
      </w:pPr>
      <w:r>
        <w:t>Mowen TJ, Brent JJ, Boman JH 4th. The Effect of School Discipline on Offending across Time. Justice Q. 2020;37(4):739-760. doi: 10.1080/07418825.2019.1625428. Epub 2019 Jul 12. PMID: 34262239; PMCID: PMC8277153.</w:t>
      </w:r>
    </w:p>
    <w:p w14:paraId="768180A8" w14:textId="77777777" w:rsidR="00CC447F" w:rsidRDefault="00CC447F" w:rsidP="008B7C9B">
      <w:pPr>
        <w:pStyle w:val="Bibliography"/>
        <w:spacing w:after="60"/>
        <w:ind w:left="425" w:hanging="425"/>
      </w:pPr>
      <w:r>
        <w:t>National Disability Insurance Agency. (2021). NDIS Participant Outcomes 30 June 2020: Baseline participant outcomes for ages 0-14 report. Sourced from https://data.ndis.gov.au/media/2526/download?attachment.</w:t>
      </w:r>
    </w:p>
    <w:p w14:paraId="6131A105" w14:textId="59753891" w:rsidR="00CC447F" w:rsidRDefault="00CC447F" w:rsidP="008B7C9B">
      <w:pPr>
        <w:pStyle w:val="Bibliography"/>
        <w:spacing w:after="60"/>
        <w:ind w:left="425" w:hanging="425"/>
      </w:pPr>
      <w:r>
        <w:t xml:space="preserve">National Disability Insurance Agency. (2024). Longitudinal participant outcomes data as </w:t>
      </w:r>
      <w:proofErr w:type="gramStart"/>
      <w:r>
        <w:t>at</w:t>
      </w:r>
      <w:proofErr w:type="gramEnd"/>
      <w:r>
        <w:t xml:space="preserve"> 31 December 2023. </w:t>
      </w:r>
      <w:r w:rsidR="001F032F">
        <w:t xml:space="preserve">Sourced from </w:t>
      </w:r>
      <w:r>
        <w:t>https://data.ndis.gov.au/media/3761/download?attachment</w:t>
      </w:r>
    </w:p>
    <w:p w14:paraId="07A970CF" w14:textId="77777777" w:rsidR="00CC447F" w:rsidRDefault="00CC447F" w:rsidP="008B7C9B">
      <w:pPr>
        <w:pStyle w:val="Bibliography"/>
        <w:spacing w:after="60"/>
        <w:ind w:left="425" w:hanging="425"/>
      </w:pPr>
      <w:r>
        <w:t>NSW Department of Education. (2023). Suspensions and Expulsions Semester 1 2017–2021 factsheet. Accessed 24 April 2024. https://data.cese.nsw.gov.au/data/dataset/c0a90a6f-2509-45c5-ba77-cf5b00350043/resource/7d039678-7527-4744-93a5-e162aa74de11/download/2021_suspension-and-expulsion-factsheet_semester-1.pdf</w:t>
      </w:r>
    </w:p>
    <w:p w14:paraId="0A596CBA" w14:textId="77777777" w:rsidR="00CC447F" w:rsidRDefault="00CC447F" w:rsidP="008B7C9B">
      <w:pPr>
        <w:pStyle w:val="Bibliography"/>
        <w:spacing w:after="60"/>
        <w:ind w:left="425" w:hanging="425"/>
      </w:pPr>
      <w:r>
        <w:t>Obsuth, I., Madia, J. E., Murray, A. L., Thompson, I., &amp; Daniels, H. (2024). The impact of school exclusion in childhood on health and well-being outcomes in adulthood: Estimating causal effects using inverse probability of treatment weighting. British Journal of Educational Psychology, 94, 460–473. https://doi.org/10.1111/bjep.12656</w:t>
      </w:r>
    </w:p>
    <w:p w14:paraId="23ACBF8A" w14:textId="77777777" w:rsidR="00CC447F" w:rsidRDefault="00CC447F" w:rsidP="008B7C9B">
      <w:pPr>
        <w:pStyle w:val="Bibliography"/>
        <w:spacing w:after="60"/>
        <w:ind w:left="425" w:hanging="425"/>
      </w:pPr>
      <w:r>
        <w:t>OECD (2019), TALIS 2018 Results (Volume I): Teachers and School Leaders as Lifelong Learners, TALIS, OECD Publishing, Paris, https://doi.org/10.1787/1d0bc92a-en.</w:t>
      </w:r>
    </w:p>
    <w:p w14:paraId="353CCBCD" w14:textId="77777777" w:rsidR="00CC447F" w:rsidRDefault="00CC447F" w:rsidP="008B7C9B">
      <w:pPr>
        <w:pStyle w:val="Bibliography"/>
        <w:spacing w:after="60"/>
        <w:ind w:left="425" w:hanging="425"/>
      </w:pPr>
      <w:r>
        <w:t>Productivity Commission. (2024). Report on Government Services 2024, Part F, Section 17: Youth Justice services</w:t>
      </w:r>
      <w:r w:rsidRPr="008B7C9B">
        <w:rPr>
          <w:rFonts w:ascii="Times New Roman" w:hAnsi="Times New Roman"/>
        </w:rPr>
        <w:t>‌</w:t>
      </w:r>
      <w:r>
        <w:t>. https://www.pc.gov.au/ongoing/report-on-government-services/2024/community-services/youth-justice</w:t>
      </w:r>
    </w:p>
    <w:p w14:paraId="786359ED" w14:textId="6F7FC8E0" w:rsidR="00CC447F" w:rsidRDefault="00CC447F" w:rsidP="008B7C9B">
      <w:pPr>
        <w:pStyle w:val="Bibliography"/>
        <w:spacing w:after="60"/>
        <w:ind w:left="425" w:hanging="425"/>
      </w:pPr>
      <w:r>
        <w:t>Queensland Department of Children, Youth Justice and Multicultural Affairs. (2023). Youth Justice Census Summary: State-wide (2018 to 2022) – under supervision. https://desbt.qld.gov.au/__data/assets/pdf_file/0022/17086/census-summary-statewide.pdf</w:t>
      </w:r>
    </w:p>
    <w:p w14:paraId="167DCCDD" w14:textId="77777777" w:rsidR="00CC447F" w:rsidRDefault="00CC447F" w:rsidP="008B7C9B">
      <w:pPr>
        <w:pStyle w:val="Bibliography"/>
        <w:spacing w:after="60"/>
        <w:ind w:left="425" w:hanging="425"/>
      </w:pPr>
      <w:r>
        <w:t>Queensland Department of Education (2023). State school enrolments 2019-23. Accessed 24 April 2024. https://qed.qld.gov.au/our-publications/reports/statistics/Documents/enrolments-summary.pdf</w:t>
      </w:r>
    </w:p>
    <w:p w14:paraId="7329062F" w14:textId="77777777" w:rsidR="00CC447F" w:rsidRDefault="00CC447F" w:rsidP="008B7C9B">
      <w:pPr>
        <w:pStyle w:val="Bibliography"/>
        <w:spacing w:after="60"/>
        <w:ind w:left="425" w:hanging="425"/>
      </w:pPr>
      <w:r>
        <w:lastRenderedPageBreak/>
        <w:t>Queensland Department of Education. (2021-2023). Statistics on suspensions, exclusions and cancellations for student categories. Documents provided to QAI under RTI application disclosure numbers 225041, 215657 and 211882.</w:t>
      </w:r>
    </w:p>
    <w:p w14:paraId="07DF395B" w14:textId="727E39E4" w:rsidR="00CC447F" w:rsidRDefault="00CC447F" w:rsidP="008B7C9B">
      <w:pPr>
        <w:pStyle w:val="Bibliography"/>
        <w:spacing w:after="60"/>
        <w:ind w:left="425" w:hanging="425"/>
      </w:pPr>
      <w:r>
        <w:t>Queensland Government Statistician’s Office, Queensland Treasury. (2021). Youth offending: research brief. https://www.qgso.qld.gov.au/issues/10321/youth-offending-april-2021-edn.pdf</w:t>
      </w:r>
    </w:p>
    <w:p w14:paraId="19A80A57" w14:textId="77777777" w:rsidR="00CC447F" w:rsidRDefault="00CC447F" w:rsidP="008B7C9B">
      <w:pPr>
        <w:pStyle w:val="Bibliography"/>
        <w:spacing w:after="60"/>
        <w:ind w:left="425" w:hanging="425"/>
      </w:pPr>
      <w:r>
        <w:t>Queensland Government. (2024). Teach Queensland - Pay and benefits. Accessed 24 April 2024. https://teach.qld.gov.au/teach-in-queensland-state-schools/pay-benefits-and-incentives/pay-and-benefits</w:t>
      </w:r>
    </w:p>
    <w:p w14:paraId="5EA15A82" w14:textId="77777777" w:rsidR="00CC447F" w:rsidRDefault="00CC447F" w:rsidP="008B7C9B">
      <w:pPr>
        <w:pStyle w:val="Bibliography"/>
        <w:spacing w:after="60"/>
        <w:ind w:left="425" w:hanging="425"/>
      </w:pPr>
      <w:r>
        <w:t xml:space="preserve">Quin, D. (2019). Levels of problem behaviours and risk and protective factors </w:t>
      </w:r>
      <w:proofErr w:type="gramStart"/>
      <w:r>
        <w:t>In</w:t>
      </w:r>
      <w:proofErr w:type="gramEnd"/>
      <w:r>
        <w:t xml:space="preserve"> suspended and non-suspended students. The Educational and Developmental Psychologist 36: 8–15. doi: 10.1017/edp.2019.4</w:t>
      </w:r>
    </w:p>
    <w:p w14:paraId="6F1A2230" w14:textId="77777777" w:rsidR="00CC447F" w:rsidRDefault="00CC447F" w:rsidP="008B7C9B">
      <w:pPr>
        <w:pStyle w:val="Bibliography"/>
        <w:spacing w:after="60"/>
        <w:ind w:left="425" w:hanging="425"/>
      </w:pPr>
      <w:r>
        <w:t>Ringland, C., Boiteux, S. and Poynton, S. (2023). People with disability and offending in NSW: Results from the National Disability Data Asset pilot (Bureau Brief No. 164). Sydney: NSW Bureau of Crime Statistics and Research. https://www.bocsar.nsw.gov.au/Publications/BB/BB164-Report-People-with-disability-and-offending-in-NSW.pdf</w:t>
      </w:r>
    </w:p>
    <w:p w14:paraId="589E7A08" w14:textId="77777777" w:rsidR="00CC447F" w:rsidRDefault="00CC447F" w:rsidP="008B7C9B">
      <w:pPr>
        <w:pStyle w:val="Bibliography"/>
        <w:spacing w:after="60"/>
        <w:ind w:left="425" w:hanging="425"/>
      </w:pPr>
      <w:r>
        <w:t>Royal Commission into Violence, Abuse, Neglect and Exploitation of People with Disability. (2021). Final Report - Volume 7, Inclusive education, employment and housing.</w:t>
      </w:r>
    </w:p>
    <w:p w14:paraId="52BC62A4" w14:textId="77777777" w:rsidR="00CC447F" w:rsidRDefault="00CC447F" w:rsidP="008B7C9B">
      <w:pPr>
        <w:pStyle w:val="Bibliography"/>
        <w:spacing w:after="60"/>
        <w:ind w:left="425" w:hanging="425"/>
      </w:pPr>
      <w:r>
        <w:t xml:space="preserve">Royal Commission into Violence, Abuse, Neglect and Exploitation of People with Disability. (2021). Final Report - Volume 8, Criminal justice and people with disability. </w:t>
      </w:r>
    </w:p>
    <w:p w14:paraId="20211056" w14:textId="0CF6C8B3" w:rsidR="00CC447F" w:rsidRDefault="00CC447F" w:rsidP="008B7C9B">
      <w:pPr>
        <w:pStyle w:val="Bibliography"/>
        <w:spacing w:after="60"/>
        <w:ind w:left="425" w:hanging="425"/>
      </w:pPr>
      <w:r>
        <w:t>Royal Commission into Violence, Abuse, Neglect and Exploitation of People with Disability. (2021). Public hearing 7 report - Barriers experienced by students with disability in accessing and obtaining a safe, quality and inclusive school education and consequent life course impacts. https://disability.royalcommission.gov.au/publications/report-public-hearing-7-barriers-experienced-students-disability-accessing-and-obtaining-safe-quality-and-inclusive-school-education-and-consequent-life-course-impacts</w:t>
      </w:r>
    </w:p>
    <w:p w14:paraId="2F7C7628" w14:textId="77777777" w:rsidR="00CC447F" w:rsidRDefault="00CC447F" w:rsidP="008B7C9B">
      <w:pPr>
        <w:pStyle w:val="Bibliography"/>
        <w:spacing w:after="60"/>
        <w:ind w:left="425" w:hanging="425"/>
      </w:pPr>
      <w:r>
        <w:t xml:space="preserve">Rumberger, R. W, &amp; Losen, D. J. (2016). The High Cost </w:t>
      </w:r>
      <w:proofErr w:type="gramStart"/>
      <w:r>
        <w:t>Of</w:t>
      </w:r>
      <w:proofErr w:type="gramEnd"/>
      <w:r>
        <w:t xml:space="preserve"> Harsh Discipline And Its Disparate Impact. UCLA: The Civil Rights Project / Proyecto Derechos Civiles. Retrieved from https://escholarship.org/uc/item/85m2m6sj</w:t>
      </w:r>
    </w:p>
    <w:p w14:paraId="54CD97E0" w14:textId="78A87CFD" w:rsidR="00CC447F" w:rsidRDefault="00CC447F" w:rsidP="008B7C9B">
      <w:pPr>
        <w:pStyle w:val="Bibliography"/>
        <w:spacing w:after="60"/>
        <w:ind w:left="425" w:hanging="425"/>
      </w:pPr>
      <w:r>
        <w:t xml:space="preserve">Senate Education and Employment References Committee (2023). The issue of increasing disruption in Australian school classrooms: Interim report. Parliament of Australia. </w:t>
      </w:r>
    </w:p>
    <w:p w14:paraId="6E4840D1" w14:textId="77777777" w:rsidR="00CC447F" w:rsidRDefault="00CC447F" w:rsidP="008B7C9B">
      <w:pPr>
        <w:pStyle w:val="Bibliography"/>
        <w:spacing w:after="60"/>
        <w:ind w:left="425" w:hanging="425"/>
      </w:pPr>
      <w:r>
        <w:t>South Australian Commissioner for Children and Young People (2020). The Blame Game – The perspectives from South Australian children and young people on the causes and impacts of education exclusion and why we need to stop blaming children for system failure. "</w:t>
      </w:r>
    </w:p>
    <w:p w14:paraId="64EB86F6" w14:textId="77777777" w:rsidR="00CC447F" w:rsidRDefault="00CC447F" w:rsidP="008B7C9B">
      <w:pPr>
        <w:pStyle w:val="Bibliography"/>
        <w:spacing w:after="60"/>
        <w:ind w:left="425" w:hanging="425"/>
      </w:pPr>
      <w:r>
        <w:t>South Australia Department of Education. (2023). Suspensions, exclusions and expulsions by year level (2013-22). Accessed 24 April 2024. https://data.sa.gov.au/data/dataset/suspensions-exclusions-and-expulsions-by-year-level</w:t>
      </w:r>
    </w:p>
    <w:p w14:paraId="3AA58115" w14:textId="77777777" w:rsidR="00CC447F" w:rsidRDefault="00CC447F" w:rsidP="008B7C9B">
      <w:pPr>
        <w:pStyle w:val="Bibliography"/>
        <w:spacing w:after="60"/>
        <w:ind w:left="425" w:hanging="425"/>
      </w:pPr>
      <w:r>
        <w:t>Victorian Ombudsman. (2017). Investigation into Victorian government school expulsions. https://assets.ombudsman.vic.gov.au/assets/Reports/Parliamentary-Reports/1-PDF-Report-Files/Investigation-into-Victorian-government-school-expulsions.pdf</w:t>
      </w:r>
    </w:p>
    <w:p w14:paraId="7A55C3D0" w14:textId="41524A3C" w:rsidR="00CC447F" w:rsidRDefault="00CC447F" w:rsidP="008B7C9B">
      <w:pPr>
        <w:pStyle w:val="Bibliography"/>
        <w:spacing w:after="60"/>
        <w:ind w:left="425" w:hanging="425"/>
      </w:pPr>
      <w:r>
        <w:t>Vincent, J., McCarthy, D., Miller, H., Armstrong, K., Lacey, S., Lian, G., Qi, D., Richards, N., Berry, T. (2022). Research Report - The economic cost of violence, abuse, neglect and exploitation of people with disability. Taylor Fry. Commissioned by the Disability Royal Commission. https://disability.royalcommission.gov.au/system/files/2023-09/Research%20Report%20-%20Economic%20cost%20of%20violence%2C%20abuse%2C%20neglect%20and%20exploitation%20of%20people%20with%20disability.pdf</w:t>
      </w:r>
    </w:p>
    <w:p w14:paraId="1AB44210" w14:textId="77777777" w:rsidR="005A6E99" w:rsidRDefault="00CC447F" w:rsidP="00C66730">
      <w:pPr>
        <w:pStyle w:val="Bibliography"/>
        <w:spacing w:after="60"/>
        <w:ind w:left="425" w:hanging="425"/>
      </w:pPr>
      <w:r>
        <w:t>Weatherburn, D., Cush, R., Saunders, P. (2007) Screening juvenile offenders for further assessment and intervention. (Crime and Justice Bulletin No. 109). Sydney: NSW Bureau of Crime Statistics and Research. https://www.bocsar.nsw.gov.au/Publications/CJB/cjb109.pdf</w:t>
      </w:r>
    </w:p>
    <w:p w14:paraId="7B74228C" w14:textId="77777777" w:rsidR="00C66730" w:rsidRDefault="00C66730" w:rsidP="00C66730"/>
    <w:sectPr w:rsidR="00C66730" w:rsidSect="00EA12DF">
      <w:headerReference w:type="default" r:id="rId36"/>
      <w:footerReference w:type="default" r:id="rId37"/>
      <w:pgSz w:w="11909" w:h="16834" w:code="9"/>
      <w:pgMar w:top="1418" w:right="1418" w:bottom="1418" w:left="1418" w:header="709"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5D3D08" w14:textId="77777777" w:rsidR="009C43CF" w:rsidRDefault="009C43CF">
      <w:r>
        <w:separator/>
      </w:r>
    </w:p>
  </w:endnote>
  <w:endnote w:type="continuationSeparator" w:id="0">
    <w:p w14:paraId="310DD74E" w14:textId="77777777" w:rsidR="009C43CF" w:rsidRDefault="009C43CF">
      <w:r>
        <w:continuationSeparator/>
      </w:r>
    </w:p>
  </w:endnote>
  <w:endnote w:type="continuationNotice" w:id="1">
    <w:p w14:paraId="3BA545EF" w14:textId="77777777" w:rsidR="009C43CF" w:rsidRDefault="009C43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EYInterstate Light">
    <w:altName w:val="Franklin Gothic Medium Cond"/>
    <w:charset w:val="00"/>
    <w:family w:val="auto"/>
    <w:pitch w:val="variable"/>
    <w:sig w:usb0="A00002AF" w:usb1="5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EYInterstate Regular">
    <w:altName w:val="Corbel"/>
    <w:charset w:val="00"/>
    <w:family w:val="auto"/>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Medium">
    <w:charset w:val="00"/>
    <w:family w:val="auto"/>
    <w:pitch w:val="variable"/>
    <w:sig w:usb0="E0000AFF" w:usb1="5000217F" w:usb2="00000021" w:usb3="00000000" w:csb0="0000019F" w:csb1="00000000"/>
  </w:font>
  <w:font w:name="EYInterstate">
    <w:altName w:val="Calibri"/>
    <w:charset w:val="00"/>
    <w:family w:val="auto"/>
    <w:pitch w:val="variable"/>
    <w:sig w:usb0="800002AF" w:usb1="5000204A"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BADDED" w14:textId="75626D18" w:rsidR="006017AE" w:rsidRDefault="006017AE">
    <w:pPr>
      <w:pStyle w:val="Footer"/>
    </w:pPr>
    <w:r>
      <w:rPr>
        <w:noProof/>
      </w:rPr>
      <w:drawing>
        <wp:anchor distT="0" distB="0" distL="114300" distR="114300" simplePos="0" relativeHeight="251684352" behindDoc="1" locked="0" layoutInCell="1" allowOverlap="0" wp14:anchorId="5C0030DF" wp14:editId="36918945">
          <wp:simplePos x="0" y="0"/>
          <wp:positionH relativeFrom="page">
            <wp:posOffset>6350</wp:posOffset>
          </wp:positionH>
          <wp:positionV relativeFrom="page">
            <wp:posOffset>9757265</wp:posOffset>
          </wp:positionV>
          <wp:extent cx="7560000" cy="903600"/>
          <wp:effectExtent l="0" t="0" r="3175" b="0"/>
          <wp:wrapNone/>
          <wp:docPr id="21021070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44233" name="Picture 1429844233"/>
                  <pic:cNvPicPr/>
                </pic:nvPicPr>
                <pic:blipFill>
                  <a:blip r:embed="rId1"/>
                  <a:stretch>
                    <a:fillRect/>
                  </a:stretch>
                </pic:blipFill>
                <pic:spPr>
                  <a:xfrm>
                    <a:off x="0" y="0"/>
                    <a:ext cx="7560000" cy="90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jc w:val="right"/>
      <w:tblCellMar>
        <w:left w:w="0" w:type="dxa"/>
      </w:tblCellMar>
      <w:tblLook w:val="0000" w:firstRow="0" w:lastRow="0" w:firstColumn="0" w:lastColumn="0" w:noHBand="0" w:noVBand="0"/>
    </w:tblPr>
    <w:tblGrid>
      <w:gridCol w:w="7372"/>
      <w:gridCol w:w="1657"/>
    </w:tblGrid>
    <w:tr w:rsidR="00477AFA" w14:paraId="370338A4" w14:textId="77777777" w:rsidTr="00477AFA">
      <w:trPr>
        <w:trHeight w:val="187"/>
        <w:jc w:val="right"/>
      </w:trPr>
      <w:tc>
        <w:tcPr>
          <w:tcW w:w="7460" w:type="dxa"/>
        </w:tcPr>
        <w:p w14:paraId="365E60C4" w14:textId="556392A2" w:rsidR="00477AFA" w:rsidRPr="00063078" w:rsidRDefault="00A533AE">
          <w:pPr>
            <w:pStyle w:val="Footer"/>
            <w:rPr>
              <w:szCs w:val="16"/>
            </w:rPr>
          </w:pPr>
          <w:r>
            <w:rPr>
              <w:szCs w:val="24"/>
            </w:rPr>
            <w:t>Queensland Advocacy for Inclusion</w:t>
          </w:r>
        </w:p>
      </w:tc>
      <w:tc>
        <w:tcPr>
          <w:tcW w:w="1677" w:type="dxa"/>
        </w:tcPr>
        <w:p w14:paraId="5DB2FF91" w14:textId="77777777" w:rsidR="00477AFA" w:rsidRPr="00625D2E" w:rsidRDefault="00477AFA">
          <w:pPr>
            <w:pStyle w:val="Footer"/>
            <w:rPr>
              <w:szCs w:val="16"/>
            </w:rPr>
          </w:pPr>
        </w:p>
      </w:tc>
    </w:tr>
    <w:tr w:rsidR="00477AFA" w14:paraId="0FE12439" w14:textId="77777777" w:rsidTr="00477AFA">
      <w:trPr>
        <w:trHeight w:val="187"/>
        <w:jc w:val="right"/>
      </w:trPr>
      <w:tc>
        <w:tcPr>
          <w:tcW w:w="7460" w:type="dxa"/>
        </w:tcPr>
        <w:p w14:paraId="11A0B2B0" w14:textId="4E5E169A" w:rsidR="00477AFA" w:rsidRPr="00063078" w:rsidRDefault="00A533AE">
          <w:pPr>
            <w:pStyle w:val="Footer"/>
            <w:rPr>
              <w:szCs w:val="16"/>
            </w:rPr>
          </w:pPr>
          <w:r>
            <w:rPr>
              <w:szCs w:val="16"/>
            </w:rPr>
            <w:t>Economic cost of suspensions for Queensland students with disability</w:t>
          </w:r>
        </w:p>
      </w:tc>
      <w:tc>
        <w:tcPr>
          <w:tcW w:w="1677" w:type="dxa"/>
        </w:tcPr>
        <w:p w14:paraId="5CF3CBDF" w14:textId="3346CA87" w:rsidR="00477AFA" w:rsidRDefault="00477AFA">
          <w:pPr>
            <w:pStyle w:val="Footer"/>
            <w:jc w:val="right"/>
            <w:rPr>
              <w:szCs w:val="16"/>
            </w:rPr>
          </w:pPr>
          <w:r w:rsidRPr="00625D2E">
            <w:rPr>
              <w:szCs w:val="16"/>
            </w:rPr>
            <w:sym w:font="Symbol" w:char="F0F7"/>
          </w:r>
          <w:r w:rsidRPr="00625D2E">
            <w:rPr>
              <w:szCs w:val="16"/>
            </w:rPr>
            <w:t xml:space="preserve"> </w:t>
          </w:r>
          <w:r>
            <w:rPr>
              <w:szCs w:val="16"/>
            </w:rPr>
            <w:t xml:space="preserve"> </w:t>
          </w:r>
          <w:r w:rsidRPr="00D3139D">
            <w:rPr>
              <w:szCs w:val="16"/>
            </w:rPr>
            <w:fldChar w:fldCharType="begin"/>
          </w:r>
          <w:r w:rsidRPr="00D3139D">
            <w:rPr>
              <w:szCs w:val="16"/>
            </w:rPr>
            <w:instrText xml:space="preserve"> PAGE </w:instrText>
          </w:r>
          <w:r w:rsidRPr="00D3139D">
            <w:rPr>
              <w:szCs w:val="16"/>
            </w:rPr>
            <w:fldChar w:fldCharType="separate"/>
          </w:r>
          <w:r>
            <w:rPr>
              <w:noProof/>
              <w:szCs w:val="16"/>
            </w:rPr>
            <w:t>1</w:t>
          </w:r>
          <w:r w:rsidRPr="00D3139D">
            <w:rPr>
              <w:szCs w:val="16"/>
            </w:rPr>
            <w:fldChar w:fldCharType="end"/>
          </w:r>
        </w:p>
      </w:tc>
    </w:tr>
  </w:tbl>
  <w:p w14:paraId="4B375BFF" w14:textId="457E95D1" w:rsidR="00477AFA" w:rsidRPr="00E462BE" w:rsidRDefault="00552DA4">
    <w:pPr>
      <w:pStyle w:val="Footer"/>
      <w:rPr>
        <w:sz w:val="2"/>
        <w:szCs w:val="2"/>
      </w:rPr>
    </w:pPr>
    <w:r>
      <w:rPr>
        <w:sz w:val="2"/>
        <w:szCs w:val="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jc w:val="right"/>
      <w:tblCellMar>
        <w:left w:w="0" w:type="dxa"/>
      </w:tblCellMar>
      <w:tblLook w:val="0000" w:firstRow="0" w:lastRow="0" w:firstColumn="0" w:lastColumn="0" w:noHBand="0" w:noVBand="0"/>
    </w:tblPr>
    <w:tblGrid>
      <w:gridCol w:w="8565"/>
      <w:gridCol w:w="1926"/>
    </w:tblGrid>
    <w:tr w:rsidR="00142D12" w14:paraId="425D545C" w14:textId="77777777" w:rsidTr="00477AFA">
      <w:trPr>
        <w:trHeight w:val="187"/>
        <w:jc w:val="right"/>
      </w:trPr>
      <w:tc>
        <w:tcPr>
          <w:tcW w:w="7460" w:type="dxa"/>
        </w:tcPr>
        <w:p w14:paraId="0695CD37" w14:textId="77777777" w:rsidR="00142D12" w:rsidRPr="00063078" w:rsidRDefault="00142D12">
          <w:pPr>
            <w:pStyle w:val="Footer"/>
            <w:rPr>
              <w:szCs w:val="16"/>
            </w:rPr>
          </w:pPr>
          <w:r>
            <w:rPr>
              <w:szCs w:val="24"/>
            </w:rPr>
            <w:t>Queensland Advocacy for Inclusion</w:t>
          </w:r>
        </w:p>
      </w:tc>
      <w:tc>
        <w:tcPr>
          <w:tcW w:w="1677" w:type="dxa"/>
        </w:tcPr>
        <w:p w14:paraId="3BEE5C72" w14:textId="77777777" w:rsidR="00142D12" w:rsidRPr="00625D2E" w:rsidRDefault="00142D12">
          <w:pPr>
            <w:pStyle w:val="Footer"/>
            <w:rPr>
              <w:szCs w:val="16"/>
            </w:rPr>
          </w:pPr>
        </w:p>
      </w:tc>
    </w:tr>
    <w:tr w:rsidR="00142D12" w14:paraId="2470F938" w14:textId="77777777" w:rsidTr="00477AFA">
      <w:trPr>
        <w:trHeight w:val="187"/>
        <w:jc w:val="right"/>
      </w:trPr>
      <w:tc>
        <w:tcPr>
          <w:tcW w:w="7460" w:type="dxa"/>
        </w:tcPr>
        <w:p w14:paraId="117A2A30" w14:textId="77777777" w:rsidR="00142D12" w:rsidRPr="00063078" w:rsidRDefault="00142D12">
          <w:pPr>
            <w:pStyle w:val="Footer"/>
            <w:rPr>
              <w:szCs w:val="16"/>
            </w:rPr>
          </w:pPr>
          <w:r>
            <w:rPr>
              <w:szCs w:val="16"/>
            </w:rPr>
            <w:t>Economic cost of suspensions for Queensland students with disability</w:t>
          </w:r>
        </w:p>
      </w:tc>
      <w:tc>
        <w:tcPr>
          <w:tcW w:w="1677" w:type="dxa"/>
        </w:tcPr>
        <w:p w14:paraId="16B121F9" w14:textId="4EEBFC90" w:rsidR="00142D12" w:rsidRDefault="00142D12">
          <w:pPr>
            <w:pStyle w:val="Footer"/>
            <w:jc w:val="right"/>
            <w:rPr>
              <w:szCs w:val="16"/>
            </w:rPr>
          </w:pPr>
          <w:r w:rsidRPr="00625D2E">
            <w:rPr>
              <w:szCs w:val="16"/>
            </w:rPr>
            <w:t xml:space="preserve"> </w:t>
          </w:r>
          <w:r w:rsidRPr="00625D2E">
            <w:rPr>
              <w:szCs w:val="16"/>
            </w:rPr>
            <w:sym w:font="Symbol" w:char="F0F7"/>
          </w:r>
          <w:r w:rsidRPr="00625D2E">
            <w:rPr>
              <w:szCs w:val="16"/>
            </w:rPr>
            <w:t xml:space="preserve"> </w:t>
          </w:r>
          <w:r>
            <w:rPr>
              <w:szCs w:val="16"/>
            </w:rPr>
            <w:t xml:space="preserve"> </w:t>
          </w:r>
          <w:r w:rsidRPr="00D3139D">
            <w:rPr>
              <w:szCs w:val="16"/>
            </w:rPr>
            <w:fldChar w:fldCharType="begin"/>
          </w:r>
          <w:r w:rsidRPr="00D3139D">
            <w:rPr>
              <w:szCs w:val="16"/>
            </w:rPr>
            <w:instrText xml:space="preserve"> PAGE </w:instrText>
          </w:r>
          <w:r w:rsidRPr="00D3139D">
            <w:rPr>
              <w:szCs w:val="16"/>
            </w:rPr>
            <w:fldChar w:fldCharType="separate"/>
          </w:r>
          <w:r>
            <w:rPr>
              <w:noProof/>
              <w:szCs w:val="16"/>
            </w:rPr>
            <w:t>1</w:t>
          </w:r>
          <w:r w:rsidRPr="00D3139D">
            <w:rPr>
              <w:szCs w:val="16"/>
            </w:rPr>
            <w:fldChar w:fldCharType="end"/>
          </w:r>
        </w:p>
      </w:tc>
    </w:tr>
  </w:tbl>
  <w:p w14:paraId="1D158FD2" w14:textId="77777777" w:rsidR="00142D12" w:rsidRPr="00E462BE" w:rsidRDefault="00142D12">
    <w:pPr>
      <w:pStyle w:val="Footer"/>
      <w:rPr>
        <w:sz w:val="2"/>
        <w:szCs w:val="2"/>
      </w:rPr>
    </w:pPr>
    <w:r>
      <w:rPr>
        <w:sz w:val="2"/>
        <w:szCs w:val="2"/>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jc w:val="right"/>
      <w:tblCellMar>
        <w:left w:w="0" w:type="dxa"/>
      </w:tblCellMar>
      <w:tblLook w:val="0000" w:firstRow="0" w:lastRow="0" w:firstColumn="0" w:lastColumn="0" w:noHBand="0" w:noVBand="0"/>
    </w:tblPr>
    <w:tblGrid>
      <w:gridCol w:w="8565"/>
      <w:gridCol w:w="1926"/>
    </w:tblGrid>
    <w:tr w:rsidR="00EA12DF" w14:paraId="17091502" w14:textId="77777777" w:rsidTr="00DB4903">
      <w:trPr>
        <w:trHeight w:val="187"/>
        <w:jc w:val="right"/>
      </w:trPr>
      <w:tc>
        <w:tcPr>
          <w:tcW w:w="7460" w:type="dxa"/>
        </w:tcPr>
        <w:p w14:paraId="109DF05C" w14:textId="77777777" w:rsidR="00EA12DF" w:rsidRPr="00063078" w:rsidRDefault="00EA12DF" w:rsidP="00EA12DF">
          <w:pPr>
            <w:pStyle w:val="Footer"/>
            <w:rPr>
              <w:szCs w:val="16"/>
            </w:rPr>
          </w:pPr>
          <w:r>
            <w:rPr>
              <w:szCs w:val="24"/>
            </w:rPr>
            <w:t>Queensland Advocacy for Inclusion</w:t>
          </w:r>
        </w:p>
      </w:tc>
      <w:tc>
        <w:tcPr>
          <w:tcW w:w="1677" w:type="dxa"/>
        </w:tcPr>
        <w:p w14:paraId="161AA3C2" w14:textId="77777777" w:rsidR="00EA12DF" w:rsidRPr="00625D2E" w:rsidRDefault="00EA12DF" w:rsidP="00EA12DF">
          <w:pPr>
            <w:pStyle w:val="Footer"/>
            <w:rPr>
              <w:szCs w:val="16"/>
            </w:rPr>
          </w:pPr>
        </w:p>
      </w:tc>
    </w:tr>
    <w:tr w:rsidR="00EA12DF" w14:paraId="5EC55D74" w14:textId="77777777" w:rsidTr="00DB4903">
      <w:trPr>
        <w:trHeight w:val="187"/>
        <w:jc w:val="right"/>
      </w:trPr>
      <w:tc>
        <w:tcPr>
          <w:tcW w:w="7460" w:type="dxa"/>
        </w:tcPr>
        <w:p w14:paraId="5277A4CC" w14:textId="77777777" w:rsidR="00EA12DF" w:rsidRPr="00063078" w:rsidRDefault="00EA12DF" w:rsidP="00EA12DF">
          <w:pPr>
            <w:pStyle w:val="Footer"/>
            <w:rPr>
              <w:szCs w:val="16"/>
            </w:rPr>
          </w:pPr>
          <w:r>
            <w:rPr>
              <w:szCs w:val="16"/>
            </w:rPr>
            <w:t>Economic cost of suspensions for Queensland students with disability</w:t>
          </w:r>
        </w:p>
      </w:tc>
      <w:tc>
        <w:tcPr>
          <w:tcW w:w="1677" w:type="dxa"/>
        </w:tcPr>
        <w:p w14:paraId="52FA135B" w14:textId="77777777" w:rsidR="00EA12DF" w:rsidRDefault="00EA12DF" w:rsidP="00EA12DF">
          <w:pPr>
            <w:pStyle w:val="Footer"/>
            <w:jc w:val="right"/>
            <w:rPr>
              <w:szCs w:val="16"/>
            </w:rPr>
          </w:pPr>
          <w:r w:rsidRPr="00625D2E">
            <w:rPr>
              <w:szCs w:val="16"/>
            </w:rPr>
            <w:sym w:font="Symbol" w:char="F0F7"/>
          </w:r>
          <w:r w:rsidRPr="00625D2E">
            <w:rPr>
              <w:szCs w:val="16"/>
            </w:rPr>
            <w:t xml:space="preserve"> </w:t>
          </w:r>
          <w:r>
            <w:rPr>
              <w:szCs w:val="16"/>
            </w:rPr>
            <w:t xml:space="preserve"> </w:t>
          </w:r>
          <w:r w:rsidRPr="00D3139D">
            <w:rPr>
              <w:szCs w:val="16"/>
            </w:rPr>
            <w:fldChar w:fldCharType="begin"/>
          </w:r>
          <w:r w:rsidRPr="00D3139D">
            <w:rPr>
              <w:szCs w:val="16"/>
            </w:rPr>
            <w:instrText xml:space="preserve"> PAGE </w:instrText>
          </w:r>
          <w:r w:rsidRPr="00D3139D">
            <w:rPr>
              <w:szCs w:val="16"/>
            </w:rPr>
            <w:fldChar w:fldCharType="separate"/>
          </w:r>
          <w:r>
            <w:rPr>
              <w:noProof/>
              <w:szCs w:val="16"/>
            </w:rPr>
            <w:t>1</w:t>
          </w:r>
          <w:r w:rsidRPr="00D3139D">
            <w:rPr>
              <w:szCs w:val="16"/>
            </w:rPr>
            <w:fldChar w:fldCharType="end"/>
          </w:r>
        </w:p>
      </w:tc>
    </w:tr>
  </w:tbl>
  <w:p w14:paraId="743D8568" w14:textId="77777777" w:rsidR="002D431D" w:rsidRPr="00094D83" w:rsidRDefault="002D43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5642CA" w14:textId="77777777" w:rsidR="009C43CF" w:rsidRDefault="009C43CF">
      <w:r>
        <w:separator/>
      </w:r>
    </w:p>
  </w:footnote>
  <w:footnote w:type="continuationSeparator" w:id="0">
    <w:p w14:paraId="4269586F" w14:textId="77777777" w:rsidR="009C43CF" w:rsidRDefault="009C43CF">
      <w:r>
        <w:continuationSeparator/>
      </w:r>
    </w:p>
  </w:footnote>
  <w:footnote w:type="continuationNotice" w:id="1">
    <w:p w14:paraId="6A57A47A" w14:textId="77777777" w:rsidR="009C43CF" w:rsidRDefault="009C43CF"/>
  </w:footnote>
  <w:footnote w:id="2">
    <w:p w14:paraId="4C3C18D3" w14:textId="5DF8F7EA" w:rsidR="00CD6B71" w:rsidRDefault="00CD6B71">
      <w:pPr>
        <w:pStyle w:val="FootnoteText"/>
      </w:pPr>
      <w:r>
        <w:rPr>
          <w:rStyle w:val="FootnoteReference"/>
        </w:rPr>
        <w:footnoteRef/>
      </w:r>
      <w:r>
        <w:t xml:space="preserve"> Sourced from </w:t>
      </w:r>
      <w:r w:rsidRPr="00CD6B71">
        <w:t>https://www.nccd.edu.au/wider-support-materials/which-students-are-included-nccd-under-definitions</w:t>
      </w:r>
    </w:p>
  </w:footnote>
  <w:footnote w:id="3">
    <w:p w14:paraId="7DDCE9F3" w14:textId="23C9AB81" w:rsidR="002647C9" w:rsidRDefault="002647C9" w:rsidP="002647C9">
      <w:pPr>
        <w:pStyle w:val="FootnoteText"/>
      </w:pPr>
      <w:r>
        <w:rPr>
          <w:rStyle w:val="FootnoteReference"/>
        </w:rPr>
        <w:footnoteRef/>
      </w:r>
      <w:r>
        <w:t xml:space="preserve"> Hemphill, S. et al. (2017) Positive associations between school suspension and student problem behaviour: Recent Australian findings. Sourced from https://www.aic.gov.au/sites/default/files/2020-05/tandi531.pdf.</w:t>
      </w:r>
    </w:p>
  </w:footnote>
  <w:footnote w:id="4">
    <w:p w14:paraId="4996F9DD" w14:textId="78CE3125" w:rsidR="002647C9" w:rsidRDefault="002647C9">
      <w:pPr>
        <w:pStyle w:val="FootnoteText"/>
      </w:pPr>
      <w:r>
        <w:rPr>
          <w:rStyle w:val="FootnoteReference"/>
        </w:rPr>
        <w:footnoteRef/>
      </w:r>
      <w:r>
        <w:t xml:space="preserve"> Dean, K. et al. (2021) Incidence of Early Police Contact Among Children </w:t>
      </w:r>
      <w:r>
        <w:t>With Emerging Mental Health Problems in Australia. Sourced from 10.1001/jamanetworkopen.2021.12057.</w:t>
      </w:r>
    </w:p>
  </w:footnote>
  <w:footnote w:id="5">
    <w:p w14:paraId="65376223" w14:textId="7E7B656B" w:rsidR="00BE6AA3" w:rsidRDefault="00BE6AA3">
      <w:pPr>
        <w:pStyle w:val="FootnoteText"/>
      </w:pPr>
      <w:r>
        <w:rPr>
          <w:rStyle w:val="FootnoteReference"/>
        </w:rPr>
        <w:footnoteRef/>
      </w:r>
      <w:r>
        <w:t xml:space="preserve"> </w:t>
      </w:r>
      <w:r w:rsidRPr="00BE6AA3">
        <w:t>Queensland Youth Justice census surveys do not include questions around previous suspension history. They do, however, indicate that a high proportion of people under Youth Justice supervision are “totally disengaged from education, training, or employment” (45-55% of respondents over 2018 to 2022 surveys)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5FF3B0" w14:textId="5041D952" w:rsidR="00515ACF" w:rsidRDefault="00A533AE">
    <w:pPr>
      <w:pStyle w:val="Header"/>
    </w:pPr>
    <w:r>
      <w:rPr>
        <w:noProof/>
        <w:lang w:val="en-US"/>
      </w:rPr>
      <mc:AlternateContent>
        <mc:Choice Requires="wps">
          <w:drawing>
            <wp:anchor distT="0" distB="0" distL="114300" distR="114300" simplePos="0" relativeHeight="251643392" behindDoc="1" locked="0" layoutInCell="1" allowOverlap="1" wp14:anchorId="7ED20BE9" wp14:editId="2E8570B7">
              <wp:simplePos x="0" y="0"/>
              <wp:positionH relativeFrom="column">
                <wp:posOffset>1543685</wp:posOffset>
              </wp:positionH>
              <wp:positionV relativeFrom="paragraph">
                <wp:posOffset>3886200</wp:posOffset>
              </wp:positionV>
              <wp:extent cx="2575560" cy="914400"/>
              <wp:effectExtent l="0" t="504825" r="33655" b="49530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2575560" cy="91440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CA686CC" w14:textId="77777777" w:rsidR="00A533AE" w:rsidRDefault="00A533AE" w:rsidP="00A533AE">
                          <w:pPr>
                            <w:jc w:val="center"/>
                            <w:rPr>
                              <w:rFonts w:ascii="EYInterstate" w:hAnsi="EYInterstate"/>
                              <w:color w:val="FFD200"/>
                              <w:sz w:val="88"/>
                              <w:szCs w:val="88"/>
                            </w:rPr>
                          </w:pPr>
                          <w:r>
                            <w:rPr>
                              <w:rFonts w:ascii="EYInterstate" w:hAnsi="EYInterstate"/>
                              <w:color w:val="FFD200"/>
                              <w:sz w:val="88"/>
                              <w:szCs w:val="88"/>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ED20BE9" id="_x0000_t202" coordsize="21600,21600" o:spt="202" path="m,l,21600r21600,l21600,xe">
              <v:stroke joinstyle="miter"/>
              <v:path gradientshapeok="t" o:connecttype="rect"/>
            </v:shapetype>
            <v:shape id="Text Box 18" o:spid="_x0000_s1027" type="#_x0000_t202" style="position:absolute;margin-left:121.55pt;margin-top:306pt;width:202.8pt;height:1in;rotation:-30;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" filled="f" stroked="f">
              <v:stroke joinstyle="round"/>
              <o:lock v:ext="edit" shapetype="t"/>
              <v:textbox style="mso-fit-shape-to-text:t">
                <w:txbxContent>
                  <w:p w14:paraId="6CA686CC" w14:textId="77777777" w:rsidR="00A533AE" w:rsidRDefault="00A533AE" w:rsidP="00A533AE">
                    <w:pPr>
                      <w:jc w:val="center"/>
                      <w:rPr>
                        <w:rFonts w:ascii="EYInterstate" w:hAnsi="EYInterstate"/>
                        <w:color w:val="FFD200"/>
                        <w:sz w:val="88"/>
                        <w:szCs w:val="88"/>
                      </w:rPr>
                    </w:pPr>
                    <w:r>
                      <w:rPr>
                        <w:rFonts w:ascii="EYInterstate" w:hAnsi="EYInterstate"/>
                        <w:color w:val="FFD200"/>
                        <w:sz w:val="88"/>
                        <w:szCs w:val="88"/>
                      </w:rPr>
                      <w:t>draft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D73E1" w14:textId="11E6B62F" w:rsidR="00515ACF" w:rsidRDefault="006017AE">
    <w:pPr>
      <w:pStyle w:val="Header"/>
    </w:pPr>
    <w:r w:rsidRPr="00D30A03">
      <w:rPr>
        <w:rFonts w:ascii="Roboto Medium" w:hAnsi="Roboto Medium"/>
        <w:noProof/>
        <w:color w:val="000000"/>
      </w:rPr>
      <w:drawing>
        <wp:anchor distT="0" distB="0" distL="114300" distR="114300" simplePos="0" relativeHeight="251682304" behindDoc="1" locked="0" layoutInCell="1" allowOverlap="1" wp14:anchorId="5AE7E9F6" wp14:editId="02E086E8">
          <wp:simplePos x="0" y="0"/>
          <wp:positionH relativeFrom="column">
            <wp:posOffset>-230995</wp:posOffset>
          </wp:positionH>
          <wp:positionV relativeFrom="paragraph">
            <wp:posOffset>-270510</wp:posOffset>
          </wp:positionV>
          <wp:extent cx="2343150" cy="2286300"/>
          <wp:effectExtent l="0" t="0" r="0" b="0"/>
          <wp:wrapNone/>
          <wp:docPr id="1362901786" name="Picture 2"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455941" name="Picture 2" descr="A logo with a black background&#10;&#10;Description automatically generated"/>
                  <pic:cNvPicPr/>
                </pic:nvPicPr>
                <pic:blipFill>
                  <a:blip r:embed="rId1"/>
                  <a:stretch>
                    <a:fillRect/>
                  </a:stretch>
                </pic:blipFill>
                <pic:spPr>
                  <a:xfrm>
                    <a:off x="0" y="0"/>
                    <a:ext cx="2343150" cy="2286300"/>
                  </a:xfrm>
                  <a:prstGeom prst="rect">
                    <a:avLst/>
                  </a:prstGeom>
                </pic:spPr>
              </pic:pic>
            </a:graphicData>
          </a:graphic>
          <wp14:sizeRelH relativeFrom="page">
            <wp14:pctWidth>0</wp14:pctWidth>
          </wp14:sizeRelH>
          <wp14:sizeRelV relativeFrom="page">
            <wp14:pctHeight>0</wp14:pctHeight>
          </wp14:sizeRelV>
        </wp:anchor>
      </w:drawing>
    </w:r>
    <w:r w:rsidR="00A533AE">
      <w:rPr>
        <w:noProof/>
        <w:lang w:val="en-US"/>
      </w:rPr>
      <mc:AlternateContent>
        <mc:Choice Requires="wps">
          <w:drawing>
            <wp:anchor distT="0" distB="0" distL="114300" distR="114300" simplePos="0" relativeHeight="251642368" behindDoc="1" locked="0" layoutInCell="1" allowOverlap="1" wp14:anchorId="47FA89FB" wp14:editId="3300053D">
              <wp:simplePos x="0" y="0"/>
              <wp:positionH relativeFrom="column">
                <wp:posOffset>1543685</wp:posOffset>
              </wp:positionH>
              <wp:positionV relativeFrom="paragraph">
                <wp:posOffset>3886200</wp:posOffset>
              </wp:positionV>
              <wp:extent cx="2575560" cy="914400"/>
              <wp:effectExtent l="0" t="504825" r="33655" b="49530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2575560" cy="91440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029C4B95" w14:textId="77777777" w:rsidR="00A533AE" w:rsidRDefault="00A533AE" w:rsidP="00A533AE">
                          <w:pPr>
                            <w:jc w:val="center"/>
                            <w:rPr>
                              <w:rFonts w:ascii="EYInterstate" w:hAnsi="EYInterstate"/>
                              <w:color w:val="FFD200"/>
                              <w:sz w:val="88"/>
                              <w:szCs w:val="88"/>
                            </w:rPr>
                          </w:pPr>
                          <w:r>
                            <w:rPr>
                              <w:rFonts w:ascii="EYInterstate" w:hAnsi="EYInterstate"/>
                              <w:color w:val="FFD200"/>
                              <w:sz w:val="88"/>
                              <w:szCs w:val="88"/>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7FA89FB" id="_x0000_t202" coordsize="21600,21600" o:spt="202" path="m,l,21600r21600,l21600,xe">
              <v:stroke joinstyle="miter"/>
              <v:path gradientshapeok="t" o:connecttype="rect"/>
            </v:shapetype>
            <v:shape id="Text Box 16" o:spid="_x0000_s1028" type="#_x0000_t202" style="position:absolute;margin-left:121.55pt;margin-top:306pt;width:202.8pt;height:1in;rotation:-30;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" filled="f" stroked="f">
              <v:stroke joinstyle="round"/>
              <o:lock v:ext="edit" shapetype="t"/>
              <v:textbox style="mso-fit-shape-to-text:t">
                <w:txbxContent>
                  <w:p w14:paraId="029C4B95" w14:textId="77777777" w:rsidR="00A533AE" w:rsidRDefault="00A533AE" w:rsidP="00A533AE">
                    <w:pPr>
                      <w:jc w:val="center"/>
                      <w:rPr>
                        <w:rFonts w:ascii="EYInterstate" w:hAnsi="EYInterstate"/>
                        <w:color w:val="FFD200"/>
                        <w:sz w:val="88"/>
                        <w:szCs w:val="88"/>
                      </w:rPr>
                    </w:pPr>
                    <w:r>
                      <w:rPr>
                        <w:rFonts w:ascii="EYInterstate" w:hAnsi="EYInterstate"/>
                        <w:color w:val="FFD200"/>
                        <w:sz w:val="88"/>
                        <w:szCs w:val="88"/>
                      </w:rPr>
                      <w:t>draft</w:t>
                    </w:r>
                  </w:p>
                </w:txbxContent>
              </v:textbox>
            </v:shape>
          </w:pict>
        </mc:Fallback>
      </mc:AlternateContent>
    </w:r>
    <w:r w:rsidR="00A533AE" w:rsidRPr="00A533AE">
      <w:rPr>
        <w:noProof/>
        <w:sz w:val="20"/>
        <w:lang w:val="en-US"/>
      </w:rPr>
      <mc:AlternateContent>
        <mc:Choice Requires="wps">
          <w:drawing>
            <wp:anchor distT="0" distB="0" distL="114300" distR="114300" simplePos="0" relativeHeight="251647488" behindDoc="1" locked="0" layoutInCell="1" allowOverlap="1" wp14:anchorId="01B7D88F" wp14:editId="5E454D5C">
              <wp:simplePos x="0" y="0"/>
              <wp:positionH relativeFrom="column">
                <wp:posOffset>1543685</wp:posOffset>
              </wp:positionH>
              <wp:positionV relativeFrom="paragraph">
                <wp:posOffset>3886200</wp:posOffset>
              </wp:positionV>
              <wp:extent cx="2575560" cy="914400"/>
              <wp:effectExtent l="0" t="504825" r="33655" b="49530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2575560" cy="91440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51411504" w14:textId="77777777" w:rsidR="00A533AE" w:rsidRDefault="00A533AE" w:rsidP="00A533AE">
                          <w:pPr>
                            <w:jc w:val="center"/>
                            <w:rPr>
                              <w:rFonts w:ascii="EYInterstate" w:hAnsi="EYInterstate"/>
                              <w:color w:val="FFD200"/>
                              <w:sz w:val="88"/>
                              <w:szCs w:val="88"/>
                            </w:rPr>
                          </w:pPr>
                          <w:r>
                            <w:rPr>
                              <w:rFonts w:ascii="EYInterstate" w:hAnsi="EYInterstate"/>
                              <w:color w:val="FFD200"/>
                              <w:sz w:val="88"/>
                              <w:szCs w:val="88"/>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1B7D88F" id="Text Box 20" o:spid="_x0000_s1029" type="#_x0000_t202" style="position:absolute;margin-left:121.55pt;margin-top:306pt;width:202.8pt;height:1in;rotation:-3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" filled="f" stroked="f">
              <v:stroke joinstyle="round"/>
              <o:lock v:ext="edit" shapetype="t"/>
              <v:textbox style="mso-fit-shape-to-text:t">
                <w:txbxContent>
                  <w:p w14:paraId="51411504" w14:textId="77777777" w:rsidR="00A533AE" w:rsidRDefault="00A533AE" w:rsidP="00A533AE">
                    <w:pPr>
                      <w:jc w:val="center"/>
                      <w:rPr>
                        <w:rFonts w:ascii="EYInterstate" w:hAnsi="EYInterstate"/>
                        <w:color w:val="FFD200"/>
                        <w:sz w:val="88"/>
                        <w:szCs w:val="88"/>
                      </w:rPr>
                    </w:pPr>
                    <w:r>
                      <w:rPr>
                        <w:rFonts w:ascii="EYInterstate" w:hAnsi="EYInterstate"/>
                        <w:color w:val="FFD200"/>
                        <w:sz w:val="88"/>
                        <w:szCs w:val="88"/>
                      </w:rPr>
                      <w:t>draft</w:t>
                    </w:r>
                  </w:p>
                </w:txbxContent>
              </v:textbox>
            </v:shape>
          </w:pict>
        </mc:Fallback>
      </mc:AlternateContent>
    </w:r>
    <w:r w:rsidR="00A533AE">
      <w:rPr>
        <w:noProof/>
        <w:lang w:val="en-US"/>
      </w:rPr>
      <mc:AlternateContent>
        <mc:Choice Requires="wps">
          <w:drawing>
            <wp:anchor distT="0" distB="0" distL="114300" distR="114300" simplePos="0" relativeHeight="251654656" behindDoc="1" locked="0" layoutInCell="1" allowOverlap="1" wp14:anchorId="3AA75DC0" wp14:editId="162190C1">
              <wp:simplePos x="0" y="0"/>
              <wp:positionH relativeFrom="column">
                <wp:posOffset>1543685</wp:posOffset>
              </wp:positionH>
              <wp:positionV relativeFrom="paragraph">
                <wp:posOffset>3886200</wp:posOffset>
              </wp:positionV>
              <wp:extent cx="2575560" cy="914400"/>
              <wp:effectExtent l="0" t="504825" r="33655" b="49530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2575560" cy="91440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365D66C3" w14:textId="77777777" w:rsidR="00A533AE" w:rsidRDefault="00A533AE" w:rsidP="00A533AE">
                          <w:pPr>
                            <w:jc w:val="center"/>
                            <w:rPr>
                              <w:rFonts w:ascii="EYInterstate" w:hAnsi="EYInterstate"/>
                              <w:color w:val="FFD200"/>
                              <w:sz w:val="88"/>
                              <w:szCs w:val="88"/>
                            </w:rPr>
                          </w:pPr>
                          <w:r>
                            <w:rPr>
                              <w:rFonts w:ascii="EYInterstate" w:hAnsi="EYInterstate"/>
                              <w:color w:val="FFD200"/>
                              <w:sz w:val="88"/>
                              <w:szCs w:val="88"/>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AA75DC0" id="Text Box 24" o:spid="_x0000_s1030" type="#_x0000_t202" style="position:absolute;margin-left:121.55pt;margin-top:306pt;width:202.8pt;height:1in;rotation:-3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" filled="f" stroked="f">
              <v:stroke joinstyle="round"/>
              <o:lock v:ext="edit" shapetype="t"/>
              <v:textbox style="mso-fit-shape-to-text:t">
                <w:txbxContent>
                  <w:p w14:paraId="365D66C3" w14:textId="77777777" w:rsidR="00A533AE" w:rsidRDefault="00A533AE" w:rsidP="00A533AE">
                    <w:pPr>
                      <w:jc w:val="center"/>
                      <w:rPr>
                        <w:rFonts w:ascii="EYInterstate" w:hAnsi="EYInterstate"/>
                        <w:color w:val="FFD200"/>
                        <w:sz w:val="88"/>
                        <w:szCs w:val="88"/>
                      </w:rPr>
                    </w:pPr>
                    <w:r>
                      <w:rPr>
                        <w:rFonts w:ascii="EYInterstate" w:hAnsi="EYInterstate"/>
                        <w:color w:val="FFD200"/>
                        <w:sz w:val="88"/>
                        <w:szCs w:val="88"/>
                      </w:rPr>
                      <w:t>draft</w:t>
                    </w:r>
                  </w:p>
                </w:txbxContent>
              </v:textbox>
            </v:shape>
          </w:pict>
        </mc:Fallback>
      </mc:AlternateContent>
    </w:r>
    <w:r w:rsidR="00A533AE" w:rsidRPr="00A533AE">
      <w:rPr>
        <w:noProof/>
        <w:sz w:val="20"/>
        <w:lang w:val="en-US"/>
      </w:rPr>
      <mc:AlternateContent>
        <mc:Choice Requires="wps">
          <w:drawing>
            <wp:anchor distT="0" distB="0" distL="114300" distR="114300" simplePos="0" relativeHeight="251661824" behindDoc="1" locked="0" layoutInCell="1" allowOverlap="1" wp14:anchorId="5EF3BFD0" wp14:editId="452203DE">
              <wp:simplePos x="0" y="0"/>
              <wp:positionH relativeFrom="column">
                <wp:posOffset>1543685</wp:posOffset>
              </wp:positionH>
              <wp:positionV relativeFrom="paragraph">
                <wp:posOffset>3886200</wp:posOffset>
              </wp:positionV>
              <wp:extent cx="2575560" cy="914400"/>
              <wp:effectExtent l="0" t="504825" r="33655" b="49530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2575560" cy="91440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7202D764" w14:textId="77777777" w:rsidR="00A533AE" w:rsidRDefault="00A533AE" w:rsidP="00A533AE">
                          <w:pPr>
                            <w:jc w:val="center"/>
                            <w:rPr>
                              <w:rFonts w:ascii="EYInterstate" w:hAnsi="EYInterstate"/>
                              <w:color w:val="FFD200"/>
                              <w:sz w:val="88"/>
                              <w:szCs w:val="88"/>
                            </w:rPr>
                          </w:pPr>
                          <w:r>
                            <w:rPr>
                              <w:rFonts w:ascii="EYInterstate" w:hAnsi="EYInterstate"/>
                              <w:color w:val="FFD200"/>
                              <w:sz w:val="88"/>
                              <w:szCs w:val="88"/>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EF3BFD0" id="Text Box 27" o:spid="_x0000_s1031" type="#_x0000_t202" style="position:absolute;margin-left:121.55pt;margin-top:306pt;width:202.8pt;height:1in;rotation:-3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" filled="f" stroked="f">
              <v:stroke joinstyle="round"/>
              <o:lock v:ext="edit" shapetype="t"/>
              <v:textbox style="mso-fit-shape-to-text:t">
                <w:txbxContent>
                  <w:p w14:paraId="7202D764" w14:textId="77777777" w:rsidR="00A533AE" w:rsidRDefault="00A533AE" w:rsidP="00A533AE">
                    <w:pPr>
                      <w:jc w:val="center"/>
                      <w:rPr>
                        <w:rFonts w:ascii="EYInterstate" w:hAnsi="EYInterstate"/>
                        <w:color w:val="FFD200"/>
                        <w:sz w:val="88"/>
                        <w:szCs w:val="88"/>
                      </w:rPr>
                    </w:pPr>
                    <w:r>
                      <w:rPr>
                        <w:rFonts w:ascii="EYInterstate" w:hAnsi="EYInterstate"/>
                        <w:color w:val="FFD200"/>
                        <w:sz w:val="88"/>
                        <w:szCs w:val="88"/>
                      </w:rPr>
                      <w:t>draft</w:t>
                    </w:r>
                  </w:p>
                </w:txbxContent>
              </v:textbox>
            </v:shape>
          </w:pict>
        </mc:Fallback>
      </mc:AlternateContent>
    </w:r>
    <w:r w:rsidR="00A533AE">
      <w:rPr>
        <w:noProof/>
        <w:lang w:val="en-US"/>
      </w:rPr>
      <mc:AlternateContent>
        <mc:Choice Requires="wps">
          <w:drawing>
            <wp:anchor distT="0" distB="0" distL="114300" distR="114300" simplePos="0" relativeHeight="251668992" behindDoc="1" locked="0" layoutInCell="1" allowOverlap="1" wp14:anchorId="1C518BBD" wp14:editId="181C3BE8">
              <wp:simplePos x="0" y="0"/>
              <wp:positionH relativeFrom="column">
                <wp:posOffset>1543685</wp:posOffset>
              </wp:positionH>
              <wp:positionV relativeFrom="paragraph">
                <wp:posOffset>3886200</wp:posOffset>
              </wp:positionV>
              <wp:extent cx="2575560" cy="914400"/>
              <wp:effectExtent l="0" t="504825" r="33655" b="49530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2575560" cy="91440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0641EE48" w14:textId="77777777" w:rsidR="00A533AE" w:rsidRDefault="00A533AE" w:rsidP="00A533AE">
                          <w:pPr>
                            <w:jc w:val="center"/>
                            <w:rPr>
                              <w:rFonts w:ascii="EYInterstate" w:hAnsi="EYInterstate"/>
                              <w:color w:val="FFD200"/>
                              <w:sz w:val="88"/>
                              <w:szCs w:val="88"/>
                            </w:rPr>
                          </w:pPr>
                          <w:r>
                            <w:rPr>
                              <w:rFonts w:ascii="EYInterstate" w:hAnsi="EYInterstate"/>
                              <w:color w:val="FFD200"/>
                              <w:sz w:val="88"/>
                              <w:szCs w:val="88"/>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C518BBD" id="Text Box 30" o:spid="_x0000_s1032" type="#_x0000_t202" style="position:absolute;margin-left:121.55pt;margin-top:306pt;width:202.8pt;height:1in;rotation:-30;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" filled="f" stroked="f">
              <v:stroke joinstyle="round"/>
              <o:lock v:ext="edit" shapetype="t"/>
              <v:textbox style="mso-fit-shape-to-text:t">
                <w:txbxContent>
                  <w:p w14:paraId="0641EE48" w14:textId="77777777" w:rsidR="00A533AE" w:rsidRDefault="00A533AE" w:rsidP="00A533AE">
                    <w:pPr>
                      <w:jc w:val="center"/>
                      <w:rPr>
                        <w:rFonts w:ascii="EYInterstate" w:hAnsi="EYInterstate"/>
                        <w:color w:val="FFD200"/>
                        <w:sz w:val="88"/>
                        <w:szCs w:val="88"/>
                      </w:rPr>
                    </w:pPr>
                    <w:r>
                      <w:rPr>
                        <w:rFonts w:ascii="EYInterstate" w:hAnsi="EYInterstate"/>
                        <w:color w:val="FFD200"/>
                        <w:sz w:val="88"/>
                        <w:szCs w:val="88"/>
                      </w:rPr>
                      <w:t>draft</w:t>
                    </w:r>
                  </w:p>
                </w:txbxContent>
              </v:textbox>
            </v:shape>
          </w:pict>
        </mc:Fallback>
      </mc:AlternateContent>
    </w:r>
    <w:r w:rsidR="00A533AE" w:rsidRPr="00A533AE">
      <w:rPr>
        <w:noProof/>
        <w:sz w:val="20"/>
        <w:lang w:val="en-US"/>
      </w:rPr>
      <mc:AlternateContent>
        <mc:Choice Requires="wps">
          <w:drawing>
            <wp:anchor distT="0" distB="0" distL="114300" distR="114300" simplePos="0" relativeHeight="251673088" behindDoc="1" locked="0" layoutInCell="1" allowOverlap="1" wp14:anchorId="3D46313F" wp14:editId="1995596F">
              <wp:simplePos x="0" y="0"/>
              <wp:positionH relativeFrom="column">
                <wp:posOffset>1543685</wp:posOffset>
              </wp:positionH>
              <wp:positionV relativeFrom="paragraph">
                <wp:posOffset>3886200</wp:posOffset>
              </wp:positionV>
              <wp:extent cx="2575560" cy="914400"/>
              <wp:effectExtent l="0" t="504825" r="33655" b="49530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2575560" cy="91440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E54BFA2" w14:textId="77777777" w:rsidR="00A533AE" w:rsidRDefault="00A533AE" w:rsidP="00A533AE">
                          <w:pPr>
                            <w:jc w:val="center"/>
                            <w:rPr>
                              <w:rFonts w:ascii="EYInterstate" w:hAnsi="EYInterstate"/>
                              <w:color w:val="FFD200"/>
                              <w:sz w:val="88"/>
                              <w:szCs w:val="88"/>
                            </w:rPr>
                          </w:pPr>
                          <w:r>
                            <w:rPr>
                              <w:rFonts w:ascii="EYInterstate" w:hAnsi="EYInterstate"/>
                              <w:color w:val="FFD200"/>
                              <w:sz w:val="88"/>
                              <w:szCs w:val="88"/>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D46313F" id="Text Box 34" o:spid="_x0000_s1033" type="#_x0000_t202" style="position:absolute;margin-left:121.55pt;margin-top:306pt;width:202.8pt;height:1in;rotation:-30;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" filled="f" stroked="f">
              <v:stroke joinstyle="round"/>
              <o:lock v:ext="edit" shapetype="t"/>
              <v:textbox style="mso-fit-shape-to-text:t">
                <w:txbxContent>
                  <w:p w14:paraId="2E54BFA2" w14:textId="77777777" w:rsidR="00A533AE" w:rsidRDefault="00A533AE" w:rsidP="00A533AE">
                    <w:pPr>
                      <w:jc w:val="center"/>
                      <w:rPr>
                        <w:rFonts w:ascii="EYInterstate" w:hAnsi="EYInterstate"/>
                        <w:color w:val="FFD200"/>
                        <w:sz w:val="88"/>
                        <w:szCs w:val="88"/>
                      </w:rPr>
                    </w:pPr>
                    <w:r>
                      <w:rPr>
                        <w:rFonts w:ascii="EYInterstate" w:hAnsi="EYInterstate"/>
                        <w:color w:val="FFD200"/>
                        <w:sz w:val="88"/>
                        <w:szCs w:val="88"/>
                      </w:rPr>
                      <w:t>draft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0851DC" w14:textId="3254D683" w:rsidR="00477AFA" w:rsidRPr="00AF3DA7" w:rsidRDefault="00A533AE" w:rsidP="00AF3DA7">
    <w:pPr>
      <w:pStyle w:val="Header"/>
    </w:pPr>
    <w:r>
      <w:rPr>
        <w:noProof/>
        <w:lang w:val="en-US"/>
      </w:rPr>
      <mc:AlternateContent>
        <mc:Choice Requires="wps">
          <w:drawing>
            <wp:anchor distT="0" distB="0" distL="114300" distR="114300" simplePos="0" relativeHeight="251650560" behindDoc="1" locked="0" layoutInCell="1" allowOverlap="1" wp14:anchorId="62E01EDA" wp14:editId="4839AB4B">
              <wp:simplePos x="0" y="0"/>
              <wp:positionH relativeFrom="column">
                <wp:posOffset>1543685</wp:posOffset>
              </wp:positionH>
              <wp:positionV relativeFrom="paragraph">
                <wp:posOffset>3886200</wp:posOffset>
              </wp:positionV>
              <wp:extent cx="2575560" cy="914400"/>
              <wp:effectExtent l="0" t="504825" r="33655" b="49530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2575560" cy="91440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9725884" w14:textId="77777777" w:rsidR="00A533AE" w:rsidRDefault="00A533AE" w:rsidP="00A533AE">
                          <w:pPr>
                            <w:jc w:val="center"/>
                            <w:rPr>
                              <w:rFonts w:ascii="EYInterstate" w:hAnsi="EYInterstate"/>
                              <w:color w:val="FFD200"/>
                              <w:sz w:val="88"/>
                              <w:szCs w:val="88"/>
                            </w:rPr>
                          </w:pPr>
                          <w:r>
                            <w:rPr>
                              <w:rFonts w:ascii="EYInterstate" w:hAnsi="EYInterstate"/>
                              <w:color w:val="FFD200"/>
                              <w:sz w:val="88"/>
                              <w:szCs w:val="88"/>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2E01EDA" id="_x0000_t202" coordsize="21600,21600" o:spt="202" path="m,l,21600r21600,l21600,xe">
              <v:stroke joinstyle="miter"/>
              <v:path gradientshapeok="t" o:connecttype="rect"/>
            </v:shapetype>
            <v:shape id="Text Box 21" o:spid="_x0000_s1034" type="#_x0000_t202" style="position:absolute;margin-left:121.55pt;margin-top:306pt;width:202.8pt;height:1in;rotation:-3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" filled="f" stroked="f">
              <v:stroke joinstyle="round"/>
              <o:lock v:ext="edit" shapetype="t"/>
              <v:textbox style="mso-fit-shape-to-text:t">
                <w:txbxContent>
                  <w:p w14:paraId="69725884" w14:textId="77777777" w:rsidR="00A533AE" w:rsidRDefault="00A533AE" w:rsidP="00A533AE">
                    <w:pPr>
                      <w:jc w:val="center"/>
                      <w:rPr>
                        <w:rFonts w:ascii="EYInterstate" w:hAnsi="EYInterstate"/>
                        <w:color w:val="FFD200"/>
                        <w:sz w:val="88"/>
                        <w:szCs w:val="88"/>
                      </w:rPr>
                    </w:pPr>
                    <w:r>
                      <w:rPr>
                        <w:rFonts w:ascii="EYInterstate" w:hAnsi="EYInterstate"/>
                        <w:color w:val="FFD200"/>
                        <w:sz w:val="88"/>
                        <w:szCs w:val="88"/>
                      </w:rPr>
                      <w:t>draft</w:t>
                    </w:r>
                  </w:p>
                </w:txbxContent>
              </v:textbox>
            </v:shape>
          </w:pict>
        </mc:Fallback>
      </mc:AlternateContent>
    </w:r>
    <w:r>
      <w:rPr>
        <w:noProof/>
        <w:lang w:val="en-US"/>
      </w:rPr>
      <mc:AlternateContent>
        <mc:Choice Requires="wps">
          <w:drawing>
            <wp:anchor distT="0" distB="0" distL="114300" distR="114300" simplePos="0" relativeHeight="251657728" behindDoc="1" locked="0" layoutInCell="1" allowOverlap="1" wp14:anchorId="0089465C" wp14:editId="4DE1C473">
              <wp:simplePos x="0" y="0"/>
              <wp:positionH relativeFrom="column">
                <wp:posOffset>1543685</wp:posOffset>
              </wp:positionH>
              <wp:positionV relativeFrom="paragraph">
                <wp:posOffset>3886200</wp:posOffset>
              </wp:positionV>
              <wp:extent cx="2575560" cy="914400"/>
              <wp:effectExtent l="0" t="504825" r="33655" b="49530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2575560" cy="91440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2812B06" w14:textId="77777777" w:rsidR="00A533AE" w:rsidRDefault="00A533AE" w:rsidP="00A533AE">
                          <w:pPr>
                            <w:jc w:val="center"/>
                            <w:rPr>
                              <w:rFonts w:ascii="EYInterstate" w:hAnsi="EYInterstate"/>
                              <w:color w:val="FFD200"/>
                              <w:sz w:val="88"/>
                              <w:szCs w:val="88"/>
                            </w:rPr>
                          </w:pPr>
                          <w:r>
                            <w:rPr>
                              <w:rFonts w:ascii="EYInterstate" w:hAnsi="EYInterstate"/>
                              <w:color w:val="FFD200"/>
                              <w:sz w:val="88"/>
                              <w:szCs w:val="88"/>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089465C" id="Text Box 25" o:spid="_x0000_s1035" type="#_x0000_t202" style="position:absolute;margin-left:121.55pt;margin-top:306pt;width:202.8pt;height:1in;rotation:-3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" filled="f" stroked="f">
              <v:stroke joinstyle="round"/>
              <o:lock v:ext="edit" shapetype="t"/>
              <v:textbox style="mso-fit-shape-to-text:t">
                <w:txbxContent>
                  <w:p w14:paraId="62812B06" w14:textId="77777777" w:rsidR="00A533AE" w:rsidRDefault="00A533AE" w:rsidP="00A533AE">
                    <w:pPr>
                      <w:jc w:val="center"/>
                      <w:rPr>
                        <w:rFonts w:ascii="EYInterstate" w:hAnsi="EYInterstate"/>
                        <w:color w:val="FFD200"/>
                        <w:sz w:val="88"/>
                        <w:szCs w:val="88"/>
                      </w:rPr>
                    </w:pPr>
                    <w:r>
                      <w:rPr>
                        <w:rFonts w:ascii="EYInterstate" w:hAnsi="EYInterstate"/>
                        <w:color w:val="FFD200"/>
                        <w:sz w:val="88"/>
                        <w:szCs w:val="88"/>
                      </w:rPr>
                      <w:t>draft</w:t>
                    </w:r>
                  </w:p>
                </w:txbxContent>
              </v:textbox>
            </v:shape>
          </w:pict>
        </mc:Fallback>
      </mc:AlternateContent>
    </w:r>
    <w:r>
      <w:rPr>
        <w:noProof/>
        <w:lang w:val="en-US"/>
      </w:rPr>
      <mc:AlternateContent>
        <mc:Choice Requires="wps">
          <w:drawing>
            <wp:anchor distT="0" distB="0" distL="114300" distR="114300" simplePos="0" relativeHeight="251664896" behindDoc="1" locked="0" layoutInCell="1" allowOverlap="1" wp14:anchorId="4E777A6C" wp14:editId="0FA8A6FC">
              <wp:simplePos x="0" y="0"/>
              <wp:positionH relativeFrom="column">
                <wp:posOffset>1543685</wp:posOffset>
              </wp:positionH>
              <wp:positionV relativeFrom="paragraph">
                <wp:posOffset>3886200</wp:posOffset>
              </wp:positionV>
              <wp:extent cx="2575560" cy="914400"/>
              <wp:effectExtent l="0" t="504825" r="33655" b="49530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2575560" cy="91440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5CDABCA1" w14:textId="77777777" w:rsidR="00A533AE" w:rsidRDefault="00A533AE" w:rsidP="00A533AE">
                          <w:pPr>
                            <w:jc w:val="center"/>
                            <w:rPr>
                              <w:rFonts w:ascii="EYInterstate" w:hAnsi="EYInterstate"/>
                              <w:color w:val="FFD200"/>
                              <w:sz w:val="88"/>
                              <w:szCs w:val="88"/>
                            </w:rPr>
                          </w:pPr>
                          <w:r>
                            <w:rPr>
                              <w:rFonts w:ascii="EYInterstate" w:hAnsi="EYInterstate"/>
                              <w:color w:val="FFD200"/>
                              <w:sz w:val="88"/>
                              <w:szCs w:val="88"/>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E777A6C" id="Text Box 28" o:spid="_x0000_s1036" type="#_x0000_t202" style="position:absolute;margin-left:121.55pt;margin-top:306pt;width:202.8pt;height:1in;rotation:-3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" filled="f" stroked="f">
              <v:stroke joinstyle="round"/>
              <o:lock v:ext="edit" shapetype="t"/>
              <v:textbox style="mso-fit-shape-to-text:t">
                <w:txbxContent>
                  <w:p w14:paraId="5CDABCA1" w14:textId="77777777" w:rsidR="00A533AE" w:rsidRDefault="00A533AE" w:rsidP="00A533AE">
                    <w:pPr>
                      <w:jc w:val="center"/>
                      <w:rPr>
                        <w:rFonts w:ascii="EYInterstate" w:hAnsi="EYInterstate"/>
                        <w:color w:val="FFD200"/>
                        <w:sz w:val="88"/>
                        <w:szCs w:val="88"/>
                      </w:rPr>
                    </w:pPr>
                    <w:r>
                      <w:rPr>
                        <w:rFonts w:ascii="EYInterstate" w:hAnsi="EYInterstate"/>
                        <w:color w:val="FFD200"/>
                        <w:sz w:val="88"/>
                        <w:szCs w:val="88"/>
                      </w:rPr>
                      <w:t>draft</w:t>
                    </w:r>
                  </w:p>
                </w:txbxContent>
              </v:textbox>
            </v:shape>
          </w:pict>
        </mc:Fallback>
      </mc:AlternateContent>
    </w:r>
    <w:r>
      <w:rPr>
        <w:noProof/>
        <w:lang w:val="en-US"/>
      </w:rPr>
      <mc:AlternateContent>
        <mc:Choice Requires="wps">
          <w:drawing>
            <wp:anchor distT="0" distB="0" distL="114300" distR="114300" simplePos="0" relativeHeight="251672064" behindDoc="1" locked="0" layoutInCell="1" allowOverlap="1" wp14:anchorId="4288EE42" wp14:editId="1AAD9A22">
              <wp:simplePos x="0" y="0"/>
              <wp:positionH relativeFrom="column">
                <wp:posOffset>1543685</wp:posOffset>
              </wp:positionH>
              <wp:positionV relativeFrom="paragraph">
                <wp:posOffset>3886200</wp:posOffset>
              </wp:positionV>
              <wp:extent cx="2575560" cy="914400"/>
              <wp:effectExtent l="0" t="504825" r="33655" b="49530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2575560" cy="91440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7FFCAA5C" w14:textId="77777777" w:rsidR="00A533AE" w:rsidRDefault="00A533AE" w:rsidP="00A533AE">
                          <w:pPr>
                            <w:jc w:val="center"/>
                            <w:rPr>
                              <w:rFonts w:ascii="EYInterstate" w:hAnsi="EYInterstate"/>
                              <w:color w:val="FFD200"/>
                              <w:sz w:val="88"/>
                              <w:szCs w:val="88"/>
                            </w:rPr>
                          </w:pPr>
                          <w:r>
                            <w:rPr>
                              <w:rFonts w:ascii="EYInterstate" w:hAnsi="EYInterstate"/>
                              <w:color w:val="FFD200"/>
                              <w:sz w:val="88"/>
                              <w:szCs w:val="88"/>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288EE42" id="Text Box 32" o:spid="_x0000_s1037" type="#_x0000_t202" style="position:absolute;margin-left:121.55pt;margin-top:306pt;width:202.8pt;height:1in;rotation:-30;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" filled="f" stroked="f">
              <v:stroke joinstyle="round"/>
              <o:lock v:ext="edit" shapetype="t"/>
              <v:textbox style="mso-fit-shape-to-text:t">
                <w:txbxContent>
                  <w:p w14:paraId="7FFCAA5C" w14:textId="77777777" w:rsidR="00A533AE" w:rsidRDefault="00A533AE" w:rsidP="00A533AE">
                    <w:pPr>
                      <w:jc w:val="center"/>
                      <w:rPr>
                        <w:rFonts w:ascii="EYInterstate" w:hAnsi="EYInterstate"/>
                        <w:color w:val="FFD200"/>
                        <w:sz w:val="88"/>
                        <w:szCs w:val="88"/>
                      </w:rPr>
                    </w:pPr>
                    <w:r>
                      <w:rPr>
                        <w:rFonts w:ascii="EYInterstate" w:hAnsi="EYInterstate"/>
                        <w:color w:val="FFD200"/>
                        <w:sz w:val="88"/>
                        <w:szCs w:val="88"/>
                      </w:rPr>
                      <w:t>draft</w:t>
                    </w:r>
                  </w:p>
                </w:txbxContent>
              </v:textbox>
            </v:shape>
          </w:pict>
        </mc:Fallback>
      </mc:AlternateContent>
    </w:r>
    <w:r>
      <w:rPr>
        <w:noProof/>
        <w:lang w:val="en-US"/>
      </w:rPr>
      <mc:AlternateContent>
        <mc:Choice Requires="wps">
          <w:drawing>
            <wp:anchor distT="0" distB="0" distL="114300" distR="114300" simplePos="0" relativeHeight="251676160" behindDoc="1" locked="0" layoutInCell="1" allowOverlap="1" wp14:anchorId="1BF6C3E5" wp14:editId="1D0DB7E7">
              <wp:simplePos x="0" y="0"/>
              <wp:positionH relativeFrom="column">
                <wp:posOffset>1543685</wp:posOffset>
              </wp:positionH>
              <wp:positionV relativeFrom="paragraph">
                <wp:posOffset>3886200</wp:posOffset>
              </wp:positionV>
              <wp:extent cx="2575560" cy="914400"/>
              <wp:effectExtent l="0" t="504825" r="33655" b="49530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2575560" cy="91440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75D76792" w14:textId="77777777" w:rsidR="00A533AE" w:rsidRDefault="00A533AE" w:rsidP="00A533AE">
                          <w:pPr>
                            <w:jc w:val="center"/>
                            <w:rPr>
                              <w:rFonts w:ascii="EYInterstate" w:hAnsi="EYInterstate"/>
                              <w:color w:val="FFD200"/>
                              <w:sz w:val="88"/>
                              <w:szCs w:val="88"/>
                            </w:rPr>
                          </w:pPr>
                          <w:r>
                            <w:rPr>
                              <w:rFonts w:ascii="EYInterstate" w:hAnsi="EYInterstate"/>
                              <w:color w:val="FFD200"/>
                              <w:sz w:val="88"/>
                              <w:szCs w:val="88"/>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BF6C3E5" id="Text Box 35" o:spid="_x0000_s1038" type="#_x0000_t202" style="position:absolute;margin-left:121.55pt;margin-top:306pt;width:202.8pt;height:1in;rotation:-30;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" filled="f" stroked="f">
              <v:stroke joinstyle="round"/>
              <o:lock v:ext="edit" shapetype="t"/>
              <v:textbox style="mso-fit-shape-to-text:t">
                <w:txbxContent>
                  <w:p w14:paraId="75D76792" w14:textId="77777777" w:rsidR="00A533AE" w:rsidRDefault="00A533AE" w:rsidP="00A533AE">
                    <w:pPr>
                      <w:jc w:val="center"/>
                      <w:rPr>
                        <w:rFonts w:ascii="EYInterstate" w:hAnsi="EYInterstate"/>
                        <w:color w:val="FFD200"/>
                        <w:sz w:val="88"/>
                        <w:szCs w:val="88"/>
                      </w:rPr>
                    </w:pPr>
                    <w:r>
                      <w:rPr>
                        <w:rFonts w:ascii="EYInterstate" w:hAnsi="EYInterstate"/>
                        <w:color w:val="FFD200"/>
                        <w:sz w:val="88"/>
                        <w:szCs w:val="88"/>
                      </w:rPr>
                      <w:t>draft</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EB0166" w14:textId="10FD9314" w:rsidR="00477AFA" w:rsidRPr="00E462BE" w:rsidRDefault="00477AF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09F673" w14:textId="1909EAB9" w:rsidR="002D431D" w:rsidRPr="00094D83" w:rsidRDefault="002D431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E1201"/>
    <w:multiLevelType w:val="hybridMultilevel"/>
    <w:tmpl w:val="DE6EADBC"/>
    <w:lvl w:ilvl="0" w:tplc="3992F2DE">
      <w:start w:val="9"/>
      <w:numFmt w:val="bullet"/>
      <w:lvlText w:val="-"/>
      <w:lvlJc w:val="left"/>
      <w:pPr>
        <w:ind w:left="720" w:hanging="360"/>
      </w:pPr>
      <w:rPr>
        <w:rFonts w:ascii="EYInterstate Light" w:eastAsia="Times New Roman" w:hAnsi="EYInterstate Light"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C514A8"/>
    <w:multiLevelType w:val="multilevel"/>
    <w:tmpl w:val="4B94EE14"/>
    <w:lvl w:ilvl="0">
      <w:start w:val="1"/>
      <w:numFmt w:val="decimal"/>
      <w:lvlRestart w:val="0"/>
      <w:pStyle w:val="EYHeading1"/>
      <w:lvlText w:val="%1."/>
      <w:lvlJc w:val="left"/>
      <w:pPr>
        <w:ind w:left="851" w:hanging="851"/>
      </w:pPr>
      <w:rPr>
        <w:rFonts w:ascii="Roboto" w:hAnsi="Roboto" w:hint="default"/>
        <w:b/>
        <w:i w:val="0"/>
        <w:color w:val="333333"/>
        <w:sz w:val="32"/>
      </w:rPr>
    </w:lvl>
    <w:lvl w:ilvl="1">
      <w:start w:val="1"/>
      <w:numFmt w:val="decimal"/>
      <w:pStyle w:val="EYHeading2"/>
      <w:lvlText w:val="%1.%2"/>
      <w:lvlJc w:val="left"/>
      <w:pPr>
        <w:tabs>
          <w:tab w:val="num" w:pos="0"/>
        </w:tabs>
        <w:ind w:left="851" w:hanging="851"/>
      </w:pPr>
      <w:rPr>
        <w:rFonts w:ascii="Roboto" w:hAnsi="Roboto" w:hint="default"/>
        <w:b/>
        <w:i w:val="0"/>
        <w:color w:val="000000"/>
        <w:sz w:val="28"/>
      </w:rPr>
    </w:lvl>
    <w:lvl w:ilvl="2">
      <w:start w:val="1"/>
      <w:numFmt w:val="decimal"/>
      <w:pStyle w:val="EYHeading3"/>
      <w:lvlText w:val="%1.%2.%3"/>
      <w:lvlJc w:val="left"/>
      <w:pPr>
        <w:tabs>
          <w:tab w:val="num" w:pos="0"/>
        </w:tabs>
        <w:ind w:left="851" w:hanging="851"/>
      </w:pPr>
      <w:rPr>
        <w:rFonts w:ascii="EYInterstate Light" w:hAnsi="EYInterstate Light" w:hint="default"/>
        <w:b/>
        <w:i w:val="0"/>
        <w:color w:val="000000"/>
        <w:sz w:val="26"/>
      </w:rPr>
    </w:lvl>
    <w:lvl w:ilvl="3">
      <w:start w:val="1"/>
      <w:numFmt w:val="decimal"/>
      <w:pStyle w:val="EYHeading4"/>
      <w:lvlText w:val="%1.%2.%3.%4"/>
      <w:lvlJc w:val="left"/>
      <w:pPr>
        <w:tabs>
          <w:tab w:val="num" w:pos="0"/>
        </w:tabs>
        <w:ind w:left="851" w:hanging="851"/>
      </w:pPr>
      <w:rPr>
        <w:rFonts w:ascii="EYInterstate Light" w:hAnsi="EYInterstate Light" w:hint="default"/>
        <w:b/>
        <w:i w:val="0"/>
        <w:color w:val="000000"/>
        <w:sz w:val="22"/>
      </w:rPr>
    </w:lvl>
    <w:lvl w:ilvl="4">
      <w:start w:val="1"/>
      <w:numFmt w:val="none"/>
      <w:lvlText w:val=""/>
      <w:lvlJc w:val="left"/>
      <w:pPr>
        <w:tabs>
          <w:tab w:val="num" w:pos="0"/>
        </w:tabs>
        <w:ind w:left="851" w:hanging="851"/>
      </w:pPr>
      <w:rPr>
        <w:rFonts w:hint="default"/>
      </w:rPr>
    </w:lvl>
    <w:lvl w:ilvl="5">
      <w:start w:val="1"/>
      <w:numFmt w:val="none"/>
      <w:lvlText w:val=""/>
      <w:lvlJc w:val="left"/>
      <w:pPr>
        <w:tabs>
          <w:tab w:val="num" w:pos="0"/>
        </w:tabs>
        <w:ind w:left="851" w:hanging="851"/>
      </w:pPr>
      <w:rPr>
        <w:rFonts w:hint="default"/>
      </w:rPr>
    </w:lvl>
    <w:lvl w:ilvl="6">
      <w:start w:val="1"/>
      <w:numFmt w:val="none"/>
      <w:lvlText w:val=""/>
      <w:lvlJc w:val="left"/>
      <w:pPr>
        <w:tabs>
          <w:tab w:val="num" w:pos="0"/>
        </w:tabs>
        <w:ind w:left="851" w:hanging="851"/>
      </w:pPr>
      <w:rPr>
        <w:rFonts w:hint="default"/>
      </w:rPr>
    </w:lvl>
    <w:lvl w:ilvl="7">
      <w:start w:val="1"/>
      <w:numFmt w:val="none"/>
      <w:lvlText w:val=""/>
      <w:lvlJc w:val="left"/>
      <w:pPr>
        <w:tabs>
          <w:tab w:val="num" w:pos="0"/>
        </w:tabs>
        <w:ind w:left="851" w:hanging="851"/>
      </w:pPr>
      <w:rPr>
        <w:rFonts w:hint="default"/>
      </w:rPr>
    </w:lvl>
    <w:lvl w:ilvl="8">
      <w:start w:val="1"/>
      <w:numFmt w:val="none"/>
      <w:lvlText w:val=""/>
      <w:lvlJc w:val="left"/>
      <w:pPr>
        <w:tabs>
          <w:tab w:val="num" w:pos="0"/>
        </w:tabs>
        <w:ind w:left="851" w:hanging="851"/>
      </w:pPr>
      <w:rPr>
        <w:rFonts w:hint="default"/>
      </w:rPr>
    </w:lvl>
  </w:abstractNum>
  <w:abstractNum w:abstractNumId="2" w15:restartNumberingAfterBreak="0">
    <w:nsid w:val="0CC04206"/>
    <w:multiLevelType w:val="hybridMultilevel"/>
    <w:tmpl w:val="2FB245E6"/>
    <w:lvl w:ilvl="0" w:tplc="F1F00ADC">
      <w:start w:val="1"/>
      <w:numFmt w:val="bullet"/>
      <w:lvlText w:val="•"/>
      <w:lvlJc w:val="left"/>
      <w:pPr>
        <w:tabs>
          <w:tab w:val="num" w:pos="720"/>
        </w:tabs>
        <w:ind w:left="720" w:hanging="360"/>
      </w:pPr>
      <w:rPr>
        <w:rFonts w:ascii="Arial" w:hAnsi="Arial" w:hint="default"/>
      </w:rPr>
    </w:lvl>
    <w:lvl w:ilvl="1" w:tplc="FF5C0122">
      <w:start w:val="1"/>
      <w:numFmt w:val="bullet"/>
      <w:lvlText w:val="•"/>
      <w:lvlJc w:val="left"/>
      <w:pPr>
        <w:tabs>
          <w:tab w:val="num" w:pos="1440"/>
        </w:tabs>
        <w:ind w:left="1440" w:hanging="360"/>
      </w:pPr>
      <w:rPr>
        <w:rFonts w:ascii="Arial" w:hAnsi="Arial" w:hint="default"/>
      </w:rPr>
    </w:lvl>
    <w:lvl w:ilvl="2" w:tplc="DF88FB70" w:tentative="1">
      <w:start w:val="1"/>
      <w:numFmt w:val="bullet"/>
      <w:lvlText w:val="•"/>
      <w:lvlJc w:val="left"/>
      <w:pPr>
        <w:tabs>
          <w:tab w:val="num" w:pos="2160"/>
        </w:tabs>
        <w:ind w:left="2160" w:hanging="360"/>
      </w:pPr>
      <w:rPr>
        <w:rFonts w:ascii="Arial" w:hAnsi="Arial" w:hint="default"/>
      </w:rPr>
    </w:lvl>
    <w:lvl w:ilvl="3" w:tplc="9CD635E4" w:tentative="1">
      <w:start w:val="1"/>
      <w:numFmt w:val="bullet"/>
      <w:lvlText w:val="•"/>
      <w:lvlJc w:val="left"/>
      <w:pPr>
        <w:tabs>
          <w:tab w:val="num" w:pos="2880"/>
        </w:tabs>
        <w:ind w:left="2880" w:hanging="360"/>
      </w:pPr>
      <w:rPr>
        <w:rFonts w:ascii="Arial" w:hAnsi="Arial" w:hint="default"/>
      </w:rPr>
    </w:lvl>
    <w:lvl w:ilvl="4" w:tplc="E1980FF4" w:tentative="1">
      <w:start w:val="1"/>
      <w:numFmt w:val="bullet"/>
      <w:lvlText w:val="•"/>
      <w:lvlJc w:val="left"/>
      <w:pPr>
        <w:tabs>
          <w:tab w:val="num" w:pos="3600"/>
        </w:tabs>
        <w:ind w:left="3600" w:hanging="360"/>
      </w:pPr>
      <w:rPr>
        <w:rFonts w:ascii="Arial" w:hAnsi="Arial" w:hint="default"/>
      </w:rPr>
    </w:lvl>
    <w:lvl w:ilvl="5" w:tplc="6D9201A8" w:tentative="1">
      <w:start w:val="1"/>
      <w:numFmt w:val="bullet"/>
      <w:lvlText w:val="•"/>
      <w:lvlJc w:val="left"/>
      <w:pPr>
        <w:tabs>
          <w:tab w:val="num" w:pos="4320"/>
        </w:tabs>
        <w:ind w:left="4320" w:hanging="360"/>
      </w:pPr>
      <w:rPr>
        <w:rFonts w:ascii="Arial" w:hAnsi="Arial" w:hint="default"/>
      </w:rPr>
    </w:lvl>
    <w:lvl w:ilvl="6" w:tplc="D550056A" w:tentative="1">
      <w:start w:val="1"/>
      <w:numFmt w:val="bullet"/>
      <w:lvlText w:val="•"/>
      <w:lvlJc w:val="left"/>
      <w:pPr>
        <w:tabs>
          <w:tab w:val="num" w:pos="5040"/>
        </w:tabs>
        <w:ind w:left="5040" w:hanging="360"/>
      </w:pPr>
      <w:rPr>
        <w:rFonts w:ascii="Arial" w:hAnsi="Arial" w:hint="default"/>
      </w:rPr>
    </w:lvl>
    <w:lvl w:ilvl="7" w:tplc="07AEDA4C" w:tentative="1">
      <w:start w:val="1"/>
      <w:numFmt w:val="bullet"/>
      <w:lvlText w:val="•"/>
      <w:lvlJc w:val="left"/>
      <w:pPr>
        <w:tabs>
          <w:tab w:val="num" w:pos="5760"/>
        </w:tabs>
        <w:ind w:left="5760" w:hanging="360"/>
      </w:pPr>
      <w:rPr>
        <w:rFonts w:ascii="Arial" w:hAnsi="Arial" w:hint="default"/>
      </w:rPr>
    </w:lvl>
    <w:lvl w:ilvl="8" w:tplc="2B64063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4A93DA6"/>
    <w:multiLevelType w:val="hybridMultilevel"/>
    <w:tmpl w:val="089A383E"/>
    <w:lvl w:ilvl="0" w:tplc="3A5AF124">
      <w:start w:val="1"/>
      <w:numFmt w:val="decimal"/>
      <w:lvlText w:val="%1."/>
      <w:lvlJc w:val="left"/>
      <w:pPr>
        <w:tabs>
          <w:tab w:val="num" w:pos="360"/>
        </w:tabs>
        <w:ind w:left="360" w:hanging="360"/>
      </w:pPr>
    </w:lvl>
    <w:lvl w:ilvl="1" w:tplc="FD3C6F5C">
      <w:start w:val="1"/>
      <w:numFmt w:val="lowerLetter"/>
      <w:lvlText w:val="%2."/>
      <w:lvlJc w:val="left"/>
      <w:pPr>
        <w:ind w:left="1080" w:hanging="360"/>
      </w:pPr>
      <w:rPr>
        <w:rFonts w:hint="default"/>
      </w:rPr>
    </w:lvl>
    <w:lvl w:ilvl="2" w:tplc="49F244E2" w:tentative="1">
      <w:start w:val="1"/>
      <w:numFmt w:val="decimal"/>
      <w:lvlText w:val="%3."/>
      <w:lvlJc w:val="left"/>
      <w:pPr>
        <w:tabs>
          <w:tab w:val="num" w:pos="1800"/>
        </w:tabs>
        <w:ind w:left="1800" w:hanging="360"/>
      </w:pPr>
    </w:lvl>
    <w:lvl w:ilvl="3" w:tplc="EF427F74" w:tentative="1">
      <w:start w:val="1"/>
      <w:numFmt w:val="decimal"/>
      <w:lvlText w:val="%4."/>
      <w:lvlJc w:val="left"/>
      <w:pPr>
        <w:tabs>
          <w:tab w:val="num" w:pos="2520"/>
        </w:tabs>
        <w:ind w:left="2520" w:hanging="360"/>
      </w:pPr>
    </w:lvl>
    <w:lvl w:ilvl="4" w:tplc="2A0EADBA" w:tentative="1">
      <w:start w:val="1"/>
      <w:numFmt w:val="decimal"/>
      <w:lvlText w:val="%5."/>
      <w:lvlJc w:val="left"/>
      <w:pPr>
        <w:tabs>
          <w:tab w:val="num" w:pos="3240"/>
        </w:tabs>
        <w:ind w:left="3240" w:hanging="360"/>
      </w:pPr>
    </w:lvl>
    <w:lvl w:ilvl="5" w:tplc="5E288DF4" w:tentative="1">
      <w:start w:val="1"/>
      <w:numFmt w:val="decimal"/>
      <w:lvlText w:val="%6."/>
      <w:lvlJc w:val="left"/>
      <w:pPr>
        <w:tabs>
          <w:tab w:val="num" w:pos="3960"/>
        </w:tabs>
        <w:ind w:left="3960" w:hanging="360"/>
      </w:pPr>
    </w:lvl>
    <w:lvl w:ilvl="6" w:tplc="60088332" w:tentative="1">
      <w:start w:val="1"/>
      <w:numFmt w:val="decimal"/>
      <w:lvlText w:val="%7."/>
      <w:lvlJc w:val="left"/>
      <w:pPr>
        <w:tabs>
          <w:tab w:val="num" w:pos="4680"/>
        </w:tabs>
        <w:ind w:left="4680" w:hanging="360"/>
      </w:pPr>
    </w:lvl>
    <w:lvl w:ilvl="7" w:tplc="9132AA44" w:tentative="1">
      <w:start w:val="1"/>
      <w:numFmt w:val="decimal"/>
      <w:lvlText w:val="%8."/>
      <w:lvlJc w:val="left"/>
      <w:pPr>
        <w:tabs>
          <w:tab w:val="num" w:pos="5400"/>
        </w:tabs>
        <w:ind w:left="5400" w:hanging="360"/>
      </w:pPr>
    </w:lvl>
    <w:lvl w:ilvl="8" w:tplc="68FADC06" w:tentative="1">
      <w:start w:val="1"/>
      <w:numFmt w:val="decimal"/>
      <w:lvlText w:val="%9."/>
      <w:lvlJc w:val="left"/>
      <w:pPr>
        <w:tabs>
          <w:tab w:val="num" w:pos="6120"/>
        </w:tabs>
        <w:ind w:left="6120" w:hanging="360"/>
      </w:pPr>
    </w:lvl>
  </w:abstractNum>
  <w:abstractNum w:abstractNumId="4" w15:restartNumberingAfterBreak="0">
    <w:nsid w:val="1B3A42E3"/>
    <w:multiLevelType w:val="hybridMultilevel"/>
    <w:tmpl w:val="71C2B600"/>
    <w:lvl w:ilvl="0" w:tplc="A00C72A4">
      <w:start w:val="1"/>
      <w:numFmt w:val="decimal"/>
      <w:lvlText w:val="%1."/>
      <w:lvlJc w:val="left"/>
      <w:pPr>
        <w:tabs>
          <w:tab w:val="num" w:pos="720"/>
        </w:tabs>
        <w:ind w:left="720" w:hanging="360"/>
      </w:pPr>
    </w:lvl>
    <w:lvl w:ilvl="1" w:tplc="79623CE4" w:tentative="1">
      <w:start w:val="1"/>
      <w:numFmt w:val="decimal"/>
      <w:lvlText w:val="%2."/>
      <w:lvlJc w:val="left"/>
      <w:pPr>
        <w:tabs>
          <w:tab w:val="num" w:pos="1440"/>
        </w:tabs>
        <w:ind w:left="1440" w:hanging="360"/>
      </w:pPr>
    </w:lvl>
    <w:lvl w:ilvl="2" w:tplc="45C62294" w:tentative="1">
      <w:start w:val="1"/>
      <w:numFmt w:val="decimal"/>
      <w:lvlText w:val="%3."/>
      <w:lvlJc w:val="left"/>
      <w:pPr>
        <w:tabs>
          <w:tab w:val="num" w:pos="2160"/>
        </w:tabs>
        <w:ind w:left="2160" w:hanging="360"/>
      </w:pPr>
    </w:lvl>
    <w:lvl w:ilvl="3" w:tplc="013CA90C" w:tentative="1">
      <w:start w:val="1"/>
      <w:numFmt w:val="decimal"/>
      <w:lvlText w:val="%4."/>
      <w:lvlJc w:val="left"/>
      <w:pPr>
        <w:tabs>
          <w:tab w:val="num" w:pos="2880"/>
        </w:tabs>
        <w:ind w:left="2880" w:hanging="360"/>
      </w:pPr>
    </w:lvl>
    <w:lvl w:ilvl="4" w:tplc="DF486274" w:tentative="1">
      <w:start w:val="1"/>
      <w:numFmt w:val="decimal"/>
      <w:lvlText w:val="%5."/>
      <w:lvlJc w:val="left"/>
      <w:pPr>
        <w:tabs>
          <w:tab w:val="num" w:pos="3600"/>
        </w:tabs>
        <w:ind w:left="3600" w:hanging="360"/>
      </w:pPr>
    </w:lvl>
    <w:lvl w:ilvl="5" w:tplc="52EC8DC8" w:tentative="1">
      <w:start w:val="1"/>
      <w:numFmt w:val="decimal"/>
      <w:lvlText w:val="%6."/>
      <w:lvlJc w:val="left"/>
      <w:pPr>
        <w:tabs>
          <w:tab w:val="num" w:pos="4320"/>
        </w:tabs>
        <w:ind w:left="4320" w:hanging="360"/>
      </w:pPr>
    </w:lvl>
    <w:lvl w:ilvl="6" w:tplc="C37E4E12" w:tentative="1">
      <w:start w:val="1"/>
      <w:numFmt w:val="decimal"/>
      <w:lvlText w:val="%7."/>
      <w:lvlJc w:val="left"/>
      <w:pPr>
        <w:tabs>
          <w:tab w:val="num" w:pos="5040"/>
        </w:tabs>
        <w:ind w:left="5040" w:hanging="360"/>
      </w:pPr>
    </w:lvl>
    <w:lvl w:ilvl="7" w:tplc="91D2C400" w:tentative="1">
      <w:start w:val="1"/>
      <w:numFmt w:val="decimal"/>
      <w:lvlText w:val="%8."/>
      <w:lvlJc w:val="left"/>
      <w:pPr>
        <w:tabs>
          <w:tab w:val="num" w:pos="5760"/>
        </w:tabs>
        <w:ind w:left="5760" w:hanging="360"/>
      </w:pPr>
    </w:lvl>
    <w:lvl w:ilvl="8" w:tplc="E3E0AB80" w:tentative="1">
      <w:start w:val="1"/>
      <w:numFmt w:val="decimal"/>
      <w:lvlText w:val="%9."/>
      <w:lvlJc w:val="left"/>
      <w:pPr>
        <w:tabs>
          <w:tab w:val="num" w:pos="6480"/>
        </w:tabs>
        <w:ind w:left="6480" w:hanging="360"/>
      </w:pPr>
    </w:lvl>
  </w:abstractNum>
  <w:abstractNum w:abstractNumId="5" w15:restartNumberingAfterBreak="0">
    <w:nsid w:val="1C43653B"/>
    <w:multiLevelType w:val="multilevel"/>
    <w:tmpl w:val="B1884DD8"/>
    <w:styleLink w:val="EYPlainBulletList"/>
    <w:lvl w:ilvl="0">
      <w:start w:val="1"/>
      <w:numFmt w:val="bullet"/>
      <w:pStyle w:val="EYBulletnoparaspace"/>
      <w:lvlText w:val="►"/>
      <w:lvlJc w:val="left"/>
      <w:pPr>
        <w:ind w:left="425" w:hanging="425"/>
      </w:pPr>
      <w:rPr>
        <w:rFonts w:ascii="Arial" w:hAnsi="Arial" w:hint="default"/>
        <w:sz w:val="16"/>
      </w:rPr>
    </w:lvl>
    <w:lvl w:ilvl="1">
      <w:start w:val="1"/>
      <w:numFmt w:val="bullet"/>
      <w:lvlText w:val="►"/>
      <w:lvlJc w:val="left"/>
      <w:pPr>
        <w:ind w:left="850" w:hanging="425"/>
      </w:pPr>
      <w:rPr>
        <w:rFonts w:ascii="Arial" w:hAnsi="Arial" w:hint="default"/>
        <w:sz w:val="16"/>
      </w:rPr>
    </w:lvl>
    <w:lvl w:ilvl="2">
      <w:start w:val="1"/>
      <w:numFmt w:val="bullet"/>
      <w:lvlText w:val="►"/>
      <w:lvlJc w:val="left"/>
      <w:pPr>
        <w:ind w:left="1275" w:hanging="425"/>
      </w:pPr>
      <w:rPr>
        <w:rFonts w:ascii="Arial" w:hAnsi="Arial" w:hint="default"/>
        <w:sz w:val="16"/>
      </w:rPr>
    </w:lvl>
    <w:lvl w:ilvl="3">
      <w:start w:val="1"/>
      <w:numFmt w:val="bullet"/>
      <w:lvlText w:val="►"/>
      <w:lvlJc w:val="left"/>
      <w:pPr>
        <w:ind w:left="1700" w:hanging="425"/>
      </w:pPr>
      <w:rPr>
        <w:rFonts w:ascii="Arial" w:hAnsi="Arial" w:hint="default"/>
        <w:sz w:val="16"/>
      </w:rPr>
    </w:lvl>
    <w:lvl w:ilvl="4">
      <w:start w:val="1"/>
      <w:numFmt w:val="bullet"/>
      <w:lvlText w:val="►"/>
      <w:lvlJc w:val="left"/>
      <w:pPr>
        <w:ind w:left="2125" w:hanging="425"/>
      </w:pPr>
      <w:rPr>
        <w:rFonts w:ascii="Arial" w:hAnsi="Arial" w:hint="default"/>
        <w:sz w:val="16"/>
      </w:rPr>
    </w:lvl>
    <w:lvl w:ilvl="5">
      <w:start w:val="1"/>
      <w:numFmt w:val="bullet"/>
      <w:lvlText w:val="►"/>
      <w:lvlJc w:val="left"/>
      <w:pPr>
        <w:ind w:left="2550" w:hanging="425"/>
      </w:pPr>
      <w:rPr>
        <w:rFonts w:ascii="Arial" w:hAnsi="Arial" w:hint="default"/>
        <w:sz w:val="16"/>
      </w:rPr>
    </w:lvl>
    <w:lvl w:ilvl="6">
      <w:start w:val="1"/>
      <w:numFmt w:val="bullet"/>
      <w:lvlText w:val="►"/>
      <w:lvlJc w:val="left"/>
      <w:pPr>
        <w:ind w:left="2975" w:hanging="425"/>
      </w:pPr>
      <w:rPr>
        <w:rFonts w:ascii="Arial" w:hAnsi="Arial" w:hint="default"/>
        <w:sz w:val="16"/>
      </w:rPr>
    </w:lvl>
    <w:lvl w:ilvl="7">
      <w:start w:val="1"/>
      <w:numFmt w:val="bullet"/>
      <w:lvlText w:val="►"/>
      <w:lvlJc w:val="left"/>
      <w:pPr>
        <w:ind w:left="3400" w:hanging="425"/>
      </w:pPr>
      <w:rPr>
        <w:rFonts w:ascii="Arial" w:hAnsi="Arial" w:hint="default"/>
        <w:sz w:val="16"/>
      </w:rPr>
    </w:lvl>
    <w:lvl w:ilvl="8">
      <w:start w:val="1"/>
      <w:numFmt w:val="bullet"/>
      <w:lvlText w:val="►"/>
      <w:lvlJc w:val="left"/>
      <w:pPr>
        <w:ind w:left="3825" w:hanging="425"/>
      </w:pPr>
      <w:rPr>
        <w:rFonts w:ascii="Arial" w:hAnsi="Arial" w:hint="default"/>
        <w:sz w:val="16"/>
      </w:rPr>
    </w:lvl>
  </w:abstractNum>
  <w:abstractNum w:abstractNumId="6" w15:restartNumberingAfterBreak="0">
    <w:nsid w:val="22DF7265"/>
    <w:multiLevelType w:val="hybridMultilevel"/>
    <w:tmpl w:val="B9F807FE"/>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5F97D75"/>
    <w:multiLevelType w:val="hybridMultilevel"/>
    <w:tmpl w:val="0FB0104E"/>
    <w:lvl w:ilvl="0" w:tplc="7388CD34">
      <w:start w:val="1"/>
      <w:numFmt w:val="decimal"/>
      <w:lvlText w:val="%1."/>
      <w:lvlJc w:val="left"/>
      <w:pPr>
        <w:tabs>
          <w:tab w:val="num" w:pos="360"/>
        </w:tabs>
        <w:ind w:left="360" w:hanging="360"/>
      </w:pPr>
      <w:rPr>
        <w:rFonts w:ascii="EYInterstate Light" w:hAnsi="EYInterstate Light"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64A0F1D"/>
    <w:multiLevelType w:val="multilevel"/>
    <w:tmpl w:val="15F80EE2"/>
    <w:lvl w:ilvl="0">
      <w:start w:val="1"/>
      <w:numFmt w:val="upperRoman"/>
      <w:lvlText w:val="%1."/>
      <w:lvlJc w:val="left"/>
      <w:pPr>
        <w:tabs>
          <w:tab w:val="num" w:pos="36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27521DDD"/>
    <w:multiLevelType w:val="hybridMultilevel"/>
    <w:tmpl w:val="A6BE3870"/>
    <w:lvl w:ilvl="0" w:tplc="AA40DA70">
      <w:start w:val="1"/>
      <w:numFmt w:val="bullet"/>
      <w:lvlText w:val="•"/>
      <w:lvlJc w:val="left"/>
      <w:pPr>
        <w:tabs>
          <w:tab w:val="num" w:pos="720"/>
        </w:tabs>
        <w:ind w:left="720" w:hanging="360"/>
      </w:pPr>
      <w:rPr>
        <w:rFonts w:ascii="Arial" w:hAnsi="Arial" w:hint="default"/>
      </w:rPr>
    </w:lvl>
    <w:lvl w:ilvl="1" w:tplc="B654295A">
      <w:start w:val="1"/>
      <w:numFmt w:val="bullet"/>
      <w:lvlText w:val="•"/>
      <w:lvlJc w:val="left"/>
      <w:pPr>
        <w:tabs>
          <w:tab w:val="num" w:pos="1440"/>
        </w:tabs>
        <w:ind w:left="1440" w:hanging="360"/>
      </w:pPr>
      <w:rPr>
        <w:rFonts w:ascii="Arial" w:hAnsi="Arial" w:hint="default"/>
      </w:rPr>
    </w:lvl>
    <w:lvl w:ilvl="2" w:tplc="EF24DA00" w:tentative="1">
      <w:start w:val="1"/>
      <w:numFmt w:val="bullet"/>
      <w:lvlText w:val="•"/>
      <w:lvlJc w:val="left"/>
      <w:pPr>
        <w:tabs>
          <w:tab w:val="num" w:pos="2160"/>
        </w:tabs>
        <w:ind w:left="2160" w:hanging="360"/>
      </w:pPr>
      <w:rPr>
        <w:rFonts w:ascii="Arial" w:hAnsi="Arial" w:hint="default"/>
      </w:rPr>
    </w:lvl>
    <w:lvl w:ilvl="3" w:tplc="E9563100" w:tentative="1">
      <w:start w:val="1"/>
      <w:numFmt w:val="bullet"/>
      <w:lvlText w:val="•"/>
      <w:lvlJc w:val="left"/>
      <w:pPr>
        <w:tabs>
          <w:tab w:val="num" w:pos="2880"/>
        </w:tabs>
        <w:ind w:left="2880" w:hanging="360"/>
      </w:pPr>
      <w:rPr>
        <w:rFonts w:ascii="Arial" w:hAnsi="Arial" w:hint="default"/>
      </w:rPr>
    </w:lvl>
    <w:lvl w:ilvl="4" w:tplc="1F70698E" w:tentative="1">
      <w:start w:val="1"/>
      <w:numFmt w:val="bullet"/>
      <w:lvlText w:val="•"/>
      <w:lvlJc w:val="left"/>
      <w:pPr>
        <w:tabs>
          <w:tab w:val="num" w:pos="3600"/>
        </w:tabs>
        <w:ind w:left="3600" w:hanging="360"/>
      </w:pPr>
      <w:rPr>
        <w:rFonts w:ascii="Arial" w:hAnsi="Arial" w:hint="default"/>
      </w:rPr>
    </w:lvl>
    <w:lvl w:ilvl="5" w:tplc="05224284" w:tentative="1">
      <w:start w:val="1"/>
      <w:numFmt w:val="bullet"/>
      <w:lvlText w:val="•"/>
      <w:lvlJc w:val="left"/>
      <w:pPr>
        <w:tabs>
          <w:tab w:val="num" w:pos="4320"/>
        </w:tabs>
        <w:ind w:left="4320" w:hanging="360"/>
      </w:pPr>
      <w:rPr>
        <w:rFonts w:ascii="Arial" w:hAnsi="Arial" w:hint="default"/>
      </w:rPr>
    </w:lvl>
    <w:lvl w:ilvl="6" w:tplc="49269E82" w:tentative="1">
      <w:start w:val="1"/>
      <w:numFmt w:val="bullet"/>
      <w:lvlText w:val="•"/>
      <w:lvlJc w:val="left"/>
      <w:pPr>
        <w:tabs>
          <w:tab w:val="num" w:pos="5040"/>
        </w:tabs>
        <w:ind w:left="5040" w:hanging="360"/>
      </w:pPr>
      <w:rPr>
        <w:rFonts w:ascii="Arial" w:hAnsi="Arial" w:hint="default"/>
      </w:rPr>
    </w:lvl>
    <w:lvl w:ilvl="7" w:tplc="6476883E" w:tentative="1">
      <w:start w:val="1"/>
      <w:numFmt w:val="bullet"/>
      <w:lvlText w:val="•"/>
      <w:lvlJc w:val="left"/>
      <w:pPr>
        <w:tabs>
          <w:tab w:val="num" w:pos="5760"/>
        </w:tabs>
        <w:ind w:left="5760" w:hanging="360"/>
      </w:pPr>
      <w:rPr>
        <w:rFonts w:ascii="Arial" w:hAnsi="Arial" w:hint="default"/>
      </w:rPr>
    </w:lvl>
    <w:lvl w:ilvl="8" w:tplc="44E46A4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FD003F5"/>
    <w:multiLevelType w:val="multilevel"/>
    <w:tmpl w:val="909639F8"/>
    <w:lvl w:ilvl="0">
      <w:start w:val="1"/>
      <w:numFmt w:val="bullet"/>
      <w:lvlText w:val="►"/>
      <w:lvlJc w:val="left"/>
      <w:pPr>
        <w:ind w:left="425" w:hanging="425"/>
      </w:pPr>
      <w:rPr>
        <w:rFonts w:ascii="Arial" w:hAnsi="Arial" w:hint="default"/>
        <w:color w:val="auto"/>
        <w:sz w:val="16"/>
        <w:szCs w:val="20"/>
      </w:rPr>
    </w:lvl>
    <w:lvl w:ilvl="1">
      <w:start w:val="1"/>
      <w:numFmt w:val="bullet"/>
      <w:lvlText w:val="►"/>
      <w:lvlJc w:val="left"/>
      <w:pPr>
        <w:ind w:left="850" w:hanging="425"/>
      </w:pPr>
      <w:rPr>
        <w:rFonts w:ascii="Arial" w:hAnsi="Arial" w:hint="default"/>
        <w:sz w:val="16"/>
      </w:rPr>
    </w:lvl>
    <w:lvl w:ilvl="2">
      <w:start w:val="1"/>
      <w:numFmt w:val="bullet"/>
      <w:lvlText w:val="►"/>
      <w:lvlJc w:val="left"/>
      <w:pPr>
        <w:ind w:left="1275" w:hanging="425"/>
      </w:pPr>
      <w:rPr>
        <w:rFonts w:ascii="Arial" w:hAnsi="Arial" w:hint="default"/>
        <w:sz w:val="16"/>
      </w:rPr>
    </w:lvl>
    <w:lvl w:ilvl="3">
      <w:start w:val="1"/>
      <w:numFmt w:val="bullet"/>
      <w:lvlText w:val="►"/>
      <w:lvlJc w:val="left"/>
      <w:pPr>
        <w:ind w:left="1700" w:hanging="425"/>
      </w:pPr>
      <w:rPr>
        <w:rFonts w:ascii="Arial" w:hAnsi="Arial" w:hint="default"/>
        <w:sz w:val="16"/>
      </w:rPr>
    </w:lvl>
    <w:lvl w:ilvl="4">
      <w:start w:val="1"/>
      <w:numFmt w:val="bullet"/>
      <w:lvlText w:val="►"/>
      <w:lvlJc w:val="left"/>
      <w:pPr>
        <w:ind w:left="2125" w:hanging="425"/>
      </w:pPr>
      <w:rPr>
        <w:rFonts w:ascii="Arial" w:hAnsi="Arial" w:hint="default"/>
        <w:sz w:val="16"/>
      </w:rPr>
    </w:lvl>
    <w:lvl w:ilvl="5">
      <w:start w:val="1"/>
      <w:numFmt w:val="bullet"/>
      <w:lvlText w:val="►"/>
      <w:lvlJc w:val="left"/>
      <w:pPr>
        <w:ind w:left="2550" w:hanging="425"/>
      </w:pPr>
      <w:rPr>
        <w:rFonts w:ascii="Arial" w:hAnsi="Arial" w:hint="default"/>
        <w:sz w:val="16"/>
      </w:rPr>
    </w:lvl>
    <w:lvl w:ilvl="6">
      <w:start w:val="1"/>
      <w:numFmt w:val="bullet"/>
      <w:lvlText w:val="►"/>
      <w:lvlJc w:val="left"/>
      <w:pPr>
        <w:ind w:left="2975" w:hanging="425"/>
      </w:pPr>
      <w:rPr>
        <w:rFonts w:ascii="Arial" w:hAnsi="Arial" w:hint="default"/>
        <w:sz w:val="16"/>
      </w:rPr>
    </w:lvl>
    <w:lvl w:ilvl="7">
      <w:start w:val="1"/>
      <w:numFmt w:val="bullet"/>
      <w:lvlText w:val="►"/>
      <w:lvlJc w:val="left"/>
      <w:pPr>
        <w:ind w:left="3400" w:hanging="425"/>
      </w:pPr>
      <w:rPr>
        <w:rFonts w:ascii="Arial" w:hAnsi="Arial" w:hint="default"/>
        <w:sz w:val="16"/>
      </w:rPr>
    </w:lvl>
    <w:lvl w:ilvl="8">
      <w:start w:val="1"/>
      <w:numFmt w:val="bullet"/>
      <w:lvlText w:val="►"/>
      <w:lvlJc w:val="left"/>
      <w:pPr>
        <w:ind w:left="3825" w:hanging="425"/>
      </w:pPr>
      <w:rPr>
        <w:rFonts w:ascii="Arial" w:hAnsi="Arial" w:hint="default"/>
        <w:sz w:val="16"/>
      </w:rPr>
    </w:lvl>
  </w:abstractNum>
  <w:abstractNum w:abstractNumId="11" w15:restartNumberingAfterBreak="0">
    <w:nsid w:val="320C286B"/>
    <w:multiLevelType w:val="hybridMultilevel"/>
    <w:tmpl w:val="A4D4039E"/>
    <w:lvl w:ilvl="0" w:tplc="19E6DE9A">
      <w:start w:val="1"/>
      <w:numFmt w:val="bullet"/>
      <w:lvlText w:val="•"/>
      <w:lvlJc w:val="left"/>
      <w:pPr>
        <w:tabs>
          <w:tab w:val="num" w:pos="720"/>
        </w:tabs>
        <w:ind w:left="720" w:hanging="360"/>
      </w:pPr>
      <w:rPr>
        <w:rFonts w:ascii="Arial" w:hAnsi="Arial" w:hint="default"/>
      </w:rPr>
    </w:lvl>
    <w:lvl w:ilvl="1" w:tplc="56625E6A" w:tentative="1">
      <w:start w:val="1"/>
      <w:numFmt w:val="bullet"/>
      <w:lvlText w:val="•"/>
      <w:lvlJc w:val="left"/>
      <w:pPr>
        <w:tabs>
          <w:tab w:val="num" w:pos="1440"/>
        </w:tabs>
        <w:ind w:left="1440" w:hanging="360"/>
      </w:pPr>
      <w:rPr>
        <w:rFonts w:ascii="Arial" w:hAnsi="Arial" w:hint="default"/>
      </w:rPr>
    </w:lvl>
    <w:lvl w:ilvl="2" w:tplc="6E30B8A6" w:tentative="1">
      <w:start w:val="1"/>
      <w:numFmt w:val="bullet"/>
      <w:lvlText w:val="•"/>
      <w:lvlJc w:val="left"/>
      <w:pPr>
        <w:tabs>
          <w:tab w:val="num" w:pos="2160"/>
        </w:tabs>
        <w:ind w:left="2160" w:hanging="360"/>
      </w:pPr>
      <w:rPr>
        <w:rFonts w:ascii="Arial" w:hAnsi="Arial" w:hint="default"/>
      </w:rPr>
    </w:lvl>
    <w:lvl w:ilvl="3" w:tplc="58065B96" w:tentative="1">
      <w:start w:val="1"/>
      <w:numFmt w:val="bullet"/>
      <w:lvlText w:val="•"/>
      <w:lvlJc w:val="left"/>
      <w:pPr>
        <w:tabs>
          <w:tab w:val="num" w:pos="2880"/>
        </w:tabs>
        <w:ind w:left="2880" w:hanging="360"/>
      </w:pPr>
      <w:rPr>
        <w:rFonts w:ascii="Arial" w:hAnsi="Arial" w:hint="default"/>
      </w:rPr>
    </w:lvl>
    <w:lvl w:ilvl="4" w:tplc="180E2AC0" w:tentative="1">
      <w:start w:val="1"/>
      <w:numFmt w:val="bullet"/>
      <w:lvlText w:val="•"/>
      <w:lvlJc w:val="left"/>
      <w:pPr>
        <w:tabs>
          <w:tab w:val="num" w:pos="3600"/>
        </w:tabs>
        <w:ind w:left="3600" w:hanging="360"/>
      </w:pPr>
      <w:rPr>
        <w:rFonts w:ascii="Arial" w:hAnsi="Arial" w:hint="default"/>
      </w:rPr>
    </w:lvl>
    <w:lvl w:ilvl="5" w:tplc="8A04380A" w:tentative="1">
      <w:start w:val="1"/>
      <w:numFmt w:val="bullet"/>
      <w:lvlText w:val="•"/>
      <w:lvlJc w:val="left"/>
      <w:pPr>
        <w:tabs>
          <w:tab w:val="num" w:pos="4320"/>
        </w:tabs>
        <w:ind w:left="4320" w:hanging="360"/>
      </w:pPr>
      <w:rPr>
        <w:rFonts w:ascii="Arial" w:hAnsi="Arial" w:hint="default"/>
      </w:rPr>
    </w:lvl>
    <w:lvl w:ilvl="6" w:tplc="416E9D52" w:tentative="1">
      <w:start w:val="1"/>
      <w:numFmt w:val="bullet"/>
      <w:lvlText w:val="•"/>
      <w:lvlJc w:val="left"/>
      <w:pPr>
        <w:tabs>
          <w:tab w:val="num" w:pos="5040"/>
        </w:tabs>
        <w:ind w:left="5040" w:hanging="360"/>
      </w:pPr>
      <w:rPr>
        <w:rFonts w:ascii="Arial" w:hAnsi="Arial" w:hint="default"/>
      </w:rPr>
    </w:lvl>
    <w:lvl w:ilvl="7" w:tplc="DAB04C94" w:tentative="1">
      <w:start w:val="1"/>
      <w:numFmt w:val="bullet"/>
      <w:lvlText w:val="•"/>
      <w:lvlJc w:val="left"/>
      <w:pPr>
        <w:tabs>
          <w:tab w:val="num" w:pos="5760"/>
        </w:tabs>
        <w:ind w:left="5760" w:hanging="360"/>
      </w:pPr>
      <w:rPr>
        <w:rFonts w:ascii="Arial" w:hAnsi="Arial" w:hint="default"/>
      </w:rPr>
    </w:lvl>
    <w:lvl w:ilvl="8" w:tplc="19983A8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5D15F06"/>
    <w:multiLevelType w:val="hybridMultilevel"/>
    <w:tmpl w:val="8CD439EC"/>
    <w:lvl w:ilvl="0" w:tplc="8092CC8C">
      <w:start w:val="1"/>
      <w:numFmt w:val="lowerRoman"/>
      <w:lvlText w:val="(%1)"/>
      <w:lvlJc w:val="right"/>
      <w:pPr>
        <w:tabs>
          <w:tab w:val="num" w:pos="720"/>
        </w:tabs>
        <w:ind w:left="720" w:hanging="360"/>
      </w:pPr>
    </w:lvl>
    <w:lvl w:ilvl="1" w:tplc="D5F49162" w:tentative="1">
      <w:start w:val="1"/>
      <w:numFmt w:val="lowerRoman"/>
      <w:lvlText w:val="(%2)"/>
      <w:lvlJc w:val="right"/>
      <w:pPr>
        <w:tabs>
          <w:tab w:val="num" w:pos="1440"/>
        </w:tabs>
        <w:ind w:left="1440" w:hanging="360"/>
      </w:pPr>
    </w:lvl>
    <w:lvl w:ilvl="2" w:tplc="F52ACE44" w:tentative="1">
      <w:start w:val="1"/>
      <w:numFmt w:val="lowerRoman"/>
      <w:lvlText w:val="(%3)"/>
      <w:lvlJc w:val="right"/>
      <w:pPr>
        <w:tabs>
          <w:tab w:val="num" w:pos="2160"/>
        </w:tabs>
        <w:ind w:left="2160" w:hanging="360"/>
      </w:pPr>
    </w:lvl>
    <w:lvl w:ilvl="3" w:tplc="97CE5CEE" w:tentative="1">
      <w:start w:val="1"/>
      <w:numFmt w:val="lowerRoman"/>
      <w:lvlText w:val="(%4)"/>
      <w:lvlJc w:val="right"/>
      <w:pPr>
        <w:tabs>
          <w:tab w:val="num" w:pos="2880"/>
        </w:tabs>
        <w:ind w:left="2880" w:hanging="360"/>
      </w:pPr>
    </w:lvl>
    <w:lvl w:ilvl="4" w:tplc="ADCCFC7C" w:tentative="1">
      <w:start w:val="1"/>
      <w:numFmt w:val="lowerRoman"/>
      <w:lvlText w:val="(%5)"/>
      <w:lvlJc w:val="right"/>
      <w:pPr>
        <w:tabs>
          <w:tab w:val="num" w:pos="3600"/>
        </w:tabs>
        <w:ind w:left="3600" w:hanging="360"/>
      </w:pPr>
    </w:lvl>
    <w:lvl w:ilvl="5" w:tplc="A9603E04" w:tentative="1">
      <w:start w:val="1"/>
      <w:numFmt w:val="lowerRoman"/>
      <w:lvlText w:val="(%6)"/>
      <w:lvlJc w:val="right"/>
      <w:pPr>
        <w:tabs>
          <w:tab w:val="num" w:pos="4320"/>
        </w:tabs>
        <w:ind w:left="4320" w:hanging="360"/>
      </w:pPr>
    </w:lvl>
    <w:lvl w:ilvl="6" w:tplc="A7C6EF32" w:tentative="1">
      <w:start w:val="1"/>
      <w:numFmt w:val="lowerRoman"/>
      <w:lvlText w:val="(%7)"/>
      <w:lvlJc w:val="right"/>
      <w:pPr>
        <w:tabs>
          <w:tab w:val="num" w:pos="5040"/>
        </w:tabs>
        <w:ind w:left="5040" w:hanging="360"/>
      </w:pPr>
    </w:lvl>
    <w:lvl w:ilvl="7" w:tplc="DFDA69B2" w:tentative="1">
      <w:start w:val="1"/>
      <w:numFmt w:val="lowerRoman"/>
      <w:lvlText w:val="(%8)"/>
      <w:lvlJc w:val="right"/>
      <w:pPr>
        <w:tabs>
          <w:tab w:val="num" w:pos="5760"/>
        </w:tabs>
        <w:ind w:left="5760" w:hanging="360"/>
      </w:pPr>
    </w:lvl>
    <w:lvl w:ilvl="8" w:tplc="28744732" w:tentative="1">
      <w:start w:val="1"/>
      <w:numFmt w:val="lowerRoman"/>
      <w:lvlText w:val="(%9)"/>
      <w:lvlJc w:val="right"/>
      <w:pPr>
        <w:tabs>
          <w:tab w:val="num" w:pos="6480"/>
        </w:tabs>
        <w:ind w:left="6480" w:hanging="360"/>
      </w:pPr>
    </w:lvl>
  </w:abstractNum>
  <w:abstractNum w:abstractNumId="13" w15:restartNumberingAfterBreak="0">
    <w:nsid w:val="3D6F005D"/>
    <w:multiLevelType w:val="hybridMultilevel"/>
    <w:tmpl w:val="3F7284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D9538C4"/>
    <w:multiLevelType w:val="hybridMultilevel"/>
    <w:tmpl w:val="D550D834"/>
    <w:lvl w:ilvl="0" w:tplc="EF16D2C0">
      <w:start w:val="1"/>
      <w:numFmt w:val="bullet"/>
      <w:lvlText w:val="•"/>
      <w:lvlJc w:val="left"/>
      <w:pPr>
        <w:tabs>
          <w:tab w:val="num" w:pos="720"/>
        </w:tabs>
        <w:ind w:left="720" w:hanging="360"/>
      </w:pPr>
      <w:rPr>
        <w:rFonts w:ascii="Arial" w:hAnsi="Arial" w:hint="default"/>
      </w:rPr>
    </w:lvl>
    <w:lvl w:ilvl="1" w:tplc="9D66C08A" w:tentative="1">
      <w:start w:val="1"/>
      <w:numFmt w:val="bullet"/>
      <w:lvlText w:val="•"/>
      <w:lvlJc w:val="left"/>
      <w:pPr>
        <w:tabs>
          <w:tab w:val="num" w:pos="1440"/>
        </w:tabs>
        <w:ind w:left="1440" w:hanging="360"/>
      </w:pPr>
      <w:rPr>
        <w:rFonts w:ascii="Arial" w:hAnsi="Arial" w:hint="default"/>
      </w:rPr>
    </w:lvl>
    <w:lvl w:ilvl="2" w:tplc="0B1A60C8" w:tentative="1">
      <w:start w:val="1"/>
      <w:numFmt w:val="bullet"/>
      <w:lvlText w:val="•"/>
      <w:lvlJc w:val="left"/>
      <w:pPr>
        <w:tabs>
          <w:tab w:val="num" w:pos="2160"/>
        </w:tabs>
        <w:ind w:left="2160" w:hanging="360"/>
      </w:pPr>
      <w:rPr>
        <w:rFonts w:ascii="Arial" w:hAnsi="Arial" w:hint="default"/>
      </w:rPr>
    </w:lvl>
    <w:lvl w:ilvl="3" w:tplc="6356546A" w:tentative="1">
      <w:start w:val="1"/>
      <w:numFmt w:val="bullet"/>
      <w:lvlText w:val="•"/>
      <w:lvlJc w:val="left"/>
      <w:pPr>
        <w:tabs>
          <w:tab w:val="num" w:pos="2880"/>
        </w:tabs>
        <w:ind w:left="2880" w:hanging="360"/>
      </w:pPr>
      <w:rPr>
        <w:rFonts w:ascii="Arial" w:hAnsi="Arial" w:hint="default"/>
      </w:rPr>
    </w:lvl>
    <w:lvl w:ilvl="4" w:tplc="BF9C3B3C" w:tentative="1">
      <w:start w:val="1"/>
      <w:numFmt w:val="bullet"/>
      <w:lvlText w:val="•"/>
      <w:lvlJc w:val="left"/>
      <w:pPr>
        <w:tabs>
          <w:tab w:val="num" w:pos="3600"/>
        </w:tabs>
        <w:ind w:left="3600" w:hanging="360"/>
      </w:pPr>
      <w:rPr>
        <w:rFonts w:ascii="Arial" w:hAnsi="Arial" w:hint="default"/>
      </w:rPr>
    </w:lvl>
    <w:lvl w:ilvl="5" w:tplc="C3FADA86" w:tentative="1">
      <w:start w:val="1"/>
      <w:numFmt w:val="bullet"/>
      <w:lvlText w:val="•"/>
      <w:lvlJc w:val="left"/>
      <w:pPr>
        <w:tabs>
          <w:tab w:val="num" w:pos="4320"/>
        </w:tabs>
        <w:ind w:left="4320" w:hanging="360"/>
      </w:pPr>
      <w:rPr>
        <w:rFonts w:ascii="Arial" w:hAnsi="Arial" w:hint="default"/>
      </w:rPr>
    </w:lvl>
    <w:lvl w:ilvl="6" w:tplc="E08AD10C" w:tentative="1">
      <w:start w:val="1"/>
      <w:numFmt w:val="bullet"/>
      <w:lvlText w:val="•"/>
      <w:lvlJc w:val="left"/>
      <w:pPr>
        <w:tabs>
          <w:tab w:val="num" w:pos="5040"/>
        </w:tabs>
        <w:ind w:left="5040" w:hanging="360"/>
      </w:pPr>
      <w:rPr>
        <w:rFonts w:ascii="Arial" w:hAnsi="Arial" w:hint="default"/>
      </w:rPr>
    </w:lvl>
    <w:lvl w:ilvl="7" w:tplc="5F9073E8" w:tentative="1">
      <w:start w:val="1"/>
      <w:numFmt w:val="bullet"/>
      <w:lvlText w:val="•"/>
      <w:lvlJc w:val="left"/>
      <w:pPr>
        <w:tabs>
          <w:tab w:val="num" w:pos="5760"/>
        </w:tabs>
        <w:ind w:left="5760" w:hanging="360"/>
      </w:pPr>
      <w:rPr>
        <w:rFonts w:ascii="Arial" w:hAnsi="Arial" w:hint="default"/>
      </w:rPr>
    </w:lvl>
    <w:lvl w:ilvl="8" w:tplc="F652430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47E4E06"/>
    <w:multiLevelType w:val="multilevel"/>
    <w:tmpl w:val="909639F8"/>
    <w:styleLink w:val="EYBulletList"/>
    <w:lvl w:ilvl="0">
      <w:start w:val="1"/>
      <w:numFmt w:val="bullet"/>
      <w:pStyle w:val="EYBulletedText1"/>
      <w:lvlText w:val="►"/>
      <w:lvlJc w:val="left"/>
      <w:pPr>
        <w:ind w:left="425" w:hanging="425"/>
      </w:pPr>
      <w:rPr>
        <w:rFonts w:ascii="Arial" w:hAnsi="Arial" w:hint="default"/>
        <w:color w:val="auto"/>
        <w:sz w:val="16"/>
        <w:szCs w:val="20"/>
      </w:rPr>
    </w:lvl>
    <w:lvl w:ilvl="1">
      <w:start w:val="1"/>
      <w:numFmt w:val="bullet"/>
      <w:pStyle w:val="EYBulletedText2"/>
      <w:lvlText w:val="►"/>
      <w:lvlJc w:val="left"/>
      <w:pPr>
        <w:ind w:left="850" w:hanging="425"/>
      </w:pPr>
      <w:rPr>
        <w:rFonts w:ascii="Arial" w:hAnsi="Arial" w:hint="default"/>
        <w:sz w:val="16"/>
      </w:rPr>
    </w:lvl>
    <w:lvl w:ilvl="2">
      <w:start w:val="1"/>
      <w:numFmt w:val="bullet"/>
      <w:pStyle w:val="EYBulletedText3"/>
      <w:lvlText w:val="►"/>
      <w:lvlJc w:val="left"/>
      <w:pPr>
        <w:ind w:left="1275" w:hanging="425"/>
      </w:pPr>
      <w:rPr>
        <w:rFonts w:ascii="Arial" w:hAnsi="Arial" w:hint="default"/>
        <w:sz w:val="16"/>
      </w:rPr>
    </w:lvl>
    <w:lvl w:ilvl="3">
      <w:start w:val="1"/>
      <w:numFmt w:val="bullet"/>
      <w:lvlText w:val="►"/>
      <w:lvlJc w:val="left"/>
      <w:pPr>
        <w:ind w:left="1700" w:hanging="425"/>
      </w:pPr>
      <w:rPr>
        <w:rFonts w:ascii="Arial" w:hAnsi="Arial" w:hint="default"/>
        <w:sz w:val="16"/>
      </w:rPr>
    </w:lvl>
    <w:lvl w:ilvl="4">
      <w:start w:val="1"/>
      <w:numFmt w:val="bullet"/>
      <w:lvlText w:val="►"/>
      <w:lvlJc w:val="left"/>
      <w:pPr>
        <w:ind w:left="2125" w:hanging="425"/>
      </w:pPr>
      <w:rPr>
        <w:rFonts w:ascii="Arial" w:hAnsi="Arial" w:hint="default"/>
        <w:sz w:val="16"/>
      </w:rPr>
    </w:lvl>
    <w:lvl w:ilvl="5">
      <w:start w:val="1"/>
      <w:numFmt w:val="bullet"/>
      <w:lvlText w:val="►"/>
      <w:lvlJc w:val="left"/>
      <w:pPr>
        <w:ind w:left="2550" w:hanging="425"/>
      </w:pPr>
      <w:rPr>
        <w:rFonts w:ascii="Arial" w:hAnsi="Arial" w:hint="default"/>
        <w:sz w:val="16"/>
      </w:rPr>
    </w:lvl>
    <w:lvl w:ilvl="6">
      <w:start w:val="1"/>
      <w:numFmt w:val="bullet"/>
      <w:lvlText w:val="►"/>
      <w:lvlJc w:val="left"/>
      <w:pPr>
        <w:ind w:left="2975" w:hanging="425"/>
      </w:pPr>
      <w:rPr>
        <w:rFonts w:ascii="Arial" w:hAnsi="Arial" w:hint="default"/>
        <w:sz w:val="16"/>
      </w:rPr>
    </w:lvl>
    <w:lvl w:ilvl="7">
      <w:start w:val="1"/>
      <w:numFmt w:val="bullet"/>
      <w:lvlText w:val="►"/>
      <w:lvlJc w:val="left"/>
      <w:pPr>
        <w:ind w:left="3400" w:hanging="425"/>
      </w:pPr>
      <w:rPr>
        <w:rFonts w:ascii="Arial" w:hAnsi="Arial" w:hint="default"/>
        <w:sz w:val="16"/>
      </w:rPr>
    </w:lvl>
    <w:lvl w:ilvl="8">
      <w:start w:val="1"/>
      <w:numFmt w:val="bullet"/>
      <w:lvlText w:val="►"/>
      <w:lvlJc w:val="left"/>
      <w:pPr>
        <w:ind w:left="3825" w:hanging="425"/>
      </w:pPr>
      <w:rPr>
        <w:rFonts w:ascii="Arial" w:hAnsi="Arial" w:hint="default"/>
        <w:sz w:val="16"/>
      </w:rPr>
    </w:lvl>
  </w:abstractNum>
  <w:abstractNum w:abstractNumId="16" w15:restartNumberingAfterBreak="0">
    <w:nsid w:val="45871CC2"/>
    <w:multiLevelType w:val="hybridMultilevel"/>
    <w:tmpl w:val="19AA108C"/>
    <w:lvl w:ilvl="0" w:tplc="C52A91C8">
      <w:start w:val="6"/>
      <w:numFmt w:val="bullet"/>
      <w:lvlText w:val="-"/>
      <w:lvlJc w:val="left"/>
      <w:pPr>
        <w:ind w:left="720" w:hanging="360"/>
      </w:pPr>
      <w:rPr>
        <w:rFonts w:ascii="EYInterstate Light" w:eastAsia="Times New Roman" w:hAnsi="EYInterstate Light"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9C37236"/>
    <w:multiLevelType w:val="hybridMultilevel"/>
    <w:tmpl w:val="77A8DC12"/>
    <w:lvl w:ilvl="0" w:tplc="44060CFE">
      <w:start w:val="1"/>
      <w:numFmt w:val="decimal"/>
      <w:lvlText w:val="%1."/>
      <w:lvlJc w:val="left"/>
      <w:pPr>
        <w:tabs>
          <w:tab w:val="num" w:pos="360"/>
        </w:tabs>
        <w:ind w:left="360" w:hanging="360"/>
      </w:pPr>
      <w:rPr>
        <w:b/>
        <w:bCs/>
      </w:rPr>
    </w:lvl>
    <w:lvl w:ilvl="1" w:tplc="65481298">
      <w:start w:val="1"/>
      <w:numFmt w:val="lowerLetter"/>
      <w:lvlText w:val="%2."/>
      <w:lvlJc w:val="left"/>
      <w:pPr>
        <w:tabs>
          <w:tab w:val="num" w:pos="1080"/>
        </w:tabs>
        <w:ind w:left="1080" w:hanging="360"/>
      </w:pPr>
    </w:lvl>
    <w:lvl w:ilvl="2" w:tplc="B3EE558A" w:tentative="1">
      <w:start w:val="1"/>
      <w:numFmt w:val="decimal"/>
      <w:lvlText w:val="%3."/>
      <w:lvlJc w:val="left"/>
      <w:pPr>
        <w:tabs>
          <w:tab w:val="num" w:pos="1800"/>
        </w:tabs>
        <w:ind w:left="1800" w:hanging="360"/>
      </w:pPr>
    </w:lvl>
    <w:lvl w:ilvl="3" w:tplc="2B50E3D6" w:tentative="1">
      <w:start w:val="1"/>
      <w:numFmt w:val="decimal"/>
      <w:lvlText w:val="%4."/>
      <w:lvlJc w:val="left"/>
      <w:pPr>
        <w:tabs>
          <w:tab w:val="num" w:pos="2520"/>
        </w:tabs>
        <w:ind w:left="2520" w:hanging="360"/>
      </w:pPr>
    </w:lvl>
    <w:lvl w:ilvl="4" w:tplc="43FA4A3C" w:tentative="1">
      <w:start w:val="1"/>
      <w:numFmt w:val="decimal"/>
      <w:lvlText w:val="%5."/>
      <w:lvlJc w:val="left"/>
      <w:pPr>
        <w:tabs>
          <w:tab w:val="num" w:pos="3240"/>
        </w:tabs>
        <w:ind w:left="3240" w:hanging="360"/>
      </w:pPr>
    </w:lvl>
    <w:lvl w:ilvl="5" w:tplc="39FE3C0C" w:tentative="1">
      <w:start w:val="1"/>
      <w:numFmt w:val="decimal"/>
      <w:lvlText w:val="%6."/>
      <w:lvlJc w:val="left"/>
      <w:pPr>
        <w:tabs>
          <w:tab w:val="num" w:pos="3960"/>
        </w:tabs>
        <w:ind w:left="3960" w:hanging="360"/>
      </w:pPr>
    </w:lvl>
    <w:lvl w:ilvl="6" w:tplc="02FCD1B8" w:tentative="1">
      <w:start w:val="1"/>
      <w:numFmt w:val="decimal"/>
      <w:lvlText w:val="%7."/>
      <w:lvlJc w:val="left"/>
      <w:pPr>
        <w:tabs>
          <w:tab w:val="num" w:pos="4680"/>
        </w:tabs>
        <w:ind w:left="4680" w:hanging="360"/>
      </w:pPr>
    </w:lvl>
    <w:lvl w:ilvl="7" w:tplc="24CAA3B0" w:tentative="1">
      <w:start w:val="1"/>
      <w:numFmt w:val="decimal"/>
      <w:lvlText w:val="%8."/>
      <w:lvlJc w:val="left"/>
      <w:pPr>
        <w:tabs>
          <w:tab w:val="num" w:pos="5400"/>
        </w:tabs>
        <w:ind w:left="5400" w:hanging="360"/>
      </w:pPr>
    </w:lvl>
    <w:lvl w:ilvl="8" w:tplc="12967416" w:tentative="1">
      <w:start w:val="1"/>
      <w:numFmt w:val="decimal"/>
      <w:lvlText w:val="%9."/>
      <w:lvlJc w:val="left"/>
      <w:pPr>
        <w:tabs>
          <w:tab w:val="num" w:pos="6120"/>
        </w:tabs>
        <w:ind w:left="6120" w:hanging="360"/>
      </w:pPr>
    </w:lvl>
  </w:abstractNum>
  <w:abstractNum w:abstractNumId="18" w15:restartNumberingAfterBreak="0">
    <w:nsid w:val="4C18701D"/>
    <w:multiLevelType w:val="multilevel"/>
    <w:tmpl w:val="F1669212"/>
    <w:styleLink w:val="EYAlphaNumList"/>
    <w:lvl w:ilvl="0">
      <w:start w:val="1"/>
      <w:numFmt w:val="decimal"/>
      <w:pStyle w:val="EY1Number"/>
      <w:lvlText w:val="%1."/>
      <w:lvlJc w:val="left"/>
      <w:pPr>
        <w:ind w:left="425" w:hanging="425"/>
      </w:pPr>
      <w:rPr>
        <w:rFonts w:hint="default"/>
      </w:rPr>
    </w:lvl>
    <w:lvl w:ilvl="1">
      <w:start w:val="1"/>
      <w:numFmt w:val="lowerLetter"/>
      <w:pStyle w:val="EY2Letter"/>
      <w:lvlText w:val="%2."/>
      <w:lvlJc w:val="left"/>
      <w:pPr>
        <w:ind w:left="851" w:hanging="426"/>
      </w:pPr>
      <w:rPr>
        <w:rFonts w:hint="default"/>
      </w:rPr>
    </w:lvl>
    <w:lvl w:ilvl="2">
      <w:start w:val="1"/>
      <w:numFmt w:val="lowerRoman"/>
      <w:pStyle w:val="EY3Roman"/>
      <w:lvlText w:val="%3."/>
      <w:lvlJc w:val="left"/>
      <w:pPr>
        <w:ind w:left="1276" w:hanging="425"/>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4E491127"/>
    <w:multiLevelType w:val="hybridMultilevel"/>
    <w:tmpl w:val="8A508358"/>
    <w:lvl w:ilvl="0" w:tplc="58262938">
      <w:start w:val="1"/>
      <w:numFmt w:val="decimal"/>
      <w:lvlText w:val="%1."/>
      <w:lvlJc w:val="left"/>
      <w:pPr>
        <w:tabs>
          <w:tab w:val="num" w:pos="360"/>
        </w:tabs>
        <w:ind w:left="360" w:hanging="360"/>
      </w:pPr>
    </w:lvl>
    <w:lvl w:ilvl="1" w:tplc="B4024224" w:tentative="1">
      <w:start w:val="1"/>
      <w:numFmt w:val="decimal"/>
      <w:lvlText w:val="%2."/>
      <w:lvlJc w:val="left"/>
      <w:pPr>
        <w:tabs>
          <w:tab w:val="num" w:pos="1080"/>
        </w:tabs>
        <w:ind w:left="1080" w:hanging="360"/>
      </w:pPr>
    </w:lvl>
    <w:lvl w:ilvl="2" w:tplc="F0406748" w:tentative="1">
      <w:start w:val="1"/>
      <w:numFmt w:val="decimal"/>
      <w:lvlText w:val="%3."/>
      <w:lvlJc w:val="left"/>
      <w:pPr>
        <w:tabs>
          <w:tab w:val="num" w:pos="1800"/>
        </w:tabs>
        <w:ind w:left="1800" w:hanging="360"/>
      </w:pPr>
    </w:lvl>
    <w:lvl w:ilvl="3" w:tplc="C5967FC8" w:tentative="1">
      <w:start w:val="1"/>
      <w:numFmt w:val="decimal"/>
      <w:lvlText w:val="%4."/>
      <w:lvlJc w:val="left"/>
      <w:pPr>
        <w:tabs>
          <w:tab w:val="num" w:pos="2520"/>
        </w:tabs>
        <w:ind w:left="2520" w:hanging="360"/>
      </w:pPr>
    </w:lvl>
    <w:lvl w:ilvl="4" w:tplc="8BC0EEBA" w:tentative="1">
      <w:start w:val="1"/>
      <w:numFmt w:val="decimal"/>
      <w:lvlText w:val="%5."/>
      <w:lvlJc w:val="left"/>
      <w:pPr>
        <w:tabs>
          <w:tab w:val="num" w:pos="3240"/>
        </w:tabs>
        <w:ind w:left="3240" w:hanging="360"/>
      </w:pPr>
    </w:lvl>
    <w:lvl w:ilvl="5" w:tplc="E72E7656" w:tentative="1">
      <w:start w:val="1"/>
      <w:numFmt w:val="decimal"/>
      <w:lvlText w:val="%6."/>
      <w:lvlJc w:val="left"/>
      <w:pPr>
        <w:tabs>
          <w:tab w:val="num" w:pos="3960"/>
        </w:tabs>
        <w:ind w:left="3960" w:hanging="360"/>
      </w:pPr>
    </w:lvl>
    <w:lvl w:ilvl="6" w:tplc="1D9A0BF8" w:tentative="1">
      <w:start w:val="1"/>
      <w:numFmt w:val="decimal"/>
      <w:lvlText w:val="%7."/>
      <w:lvlJc w:val="left"/>
      <w:pPr>
        <w:tabs>
          <w:tab w:val="num" w:pos="4680"/>
        </w:tabs>
        <w:ind w:left="4680" w:hanging="360"/>
      </w:pPr>
    </w:lvl>
    <w:lvl w:ilvl="7" w:tplc="696AA978" w:tentative="1">
      <w:start w:val="1"/>
      <w:numFmt w:val="decimal"/>
      <w:lvlText w:val="%8."/>
      <w:lvlJc w:val="left"/>
      <w:pPr>
        <w:tabs>
          <w:tab w:val="num" w:pos="5400"/>
        </w:tabs>
        <w:ind w:left="5400" w:hanging="360"/>
      </w:pPr>
    </w:lvl>
    <w:lvl w:ilvl="8" w:tplc="FD124BE2" w:tentative="1">
      <w:start w:val="1"/>
      <w:numFmt w:val="decimal"/>
      <w:lvlText w:val="%9."/>
      <w:lvlJc w:val="left"/>
      <w:pPr>
        <w:tabs>
          <w:tab w:val="num" w:pos="6120"/>
        </w:tabs>
        <w:ind w:left="6120" w:hanging="360"/>
      </w:pPr>
    </w:lvl>
  </w:abstractNum>
  <w:abstractNum w:abstractNumId="20" w15:restartNumberingAfterBreak="0">
    <w:nsid w:val="501D3CEE"/>
    <w:multiLevelType w:val="multilevel"/>
    <w:tmpl w:val="DE26DC9E"/>
    <w:lvl w:ilvl="0">
      <w:numFmt w:val="none"/>
      <w:lvlText w:val=""/>
      <w:lvlJc w:val="left"/>
      <w:pPr>
        <w:tabs>
          <w:tab w:val="num" w:pos="360"/>
        </w:tabs>
      </w:pPr>
    </w:lvl>
    <w:lvl w:ilvl="1">
      <w:start w:val="1"/>
      <w:numFmt w:val="decimal"/>
      <w:lvlText w:val="%1.%2"/>
      <w:lvlJc w:val="left"/>
      <w:pPr>
        <w:tabs>
          <w:tab w:val="num" w:pos="0"/>
        </w:tabs>
        <w:ind w:left="0" w:hanging="850"/>
      </w:pPr>
      <w:rPr>
        <w:rFonts w:ascii="Arial" w:hAnsi="Arial" w:cs="Arial" w:hint="default"/>
        <w:b/>
        <w:i w:val="0"/>
        <w:color w:val="000000"/>
        <w:sz w:val="28"/>
        <w:szCs w:val="14"/>
      </w:rPr>
    </w:lvl>
    <w:lvl w:ilvl="2">
      <w:start w:val="1"/>
      <w:numFmt w:val="decimal"/>
      <w:lvlText w:val="%1.%2.%3"/>
      <w:lvlJc w:val="left"/>
      <w:pPr>
        <w:tabs>
          <w:tab w:val="num" w:pos="0"/>
        </w:tabs>
        <w:ind w:left="0" w:hanging="850"/>
      </w:pPr>
      <w:rPr>
        <w:rFonts w:hint="default"/>
        <w:b/>
        <w:color w:val="000000"/>
        <w:sz w:val="24"/>
        <w:szCs w:val="14"/>
      </w:rPr>
    </w:lvl>
    <w:lvl w:ilvl="3">
      <w:start w:val="1"/>
      <w:numFmt w:val="decimal"/>
      <w:lvlText w:val="%1.%2.%3.%4"/>
      <w:lvlJc w:val="left"/>
      <w:pPr>
        <w:tabs>
          <w:tab w:val="num" w:pos="0"/>
        </w:tabs>
        <w:ind w:left="0" w:hanging="850"/>
      </w:pPr>
      <w:rPr>
        <w:rFonts w:hint="default"/>
        <w:b/>
        <w:color w:val="000000"/>
        <w:sz w:val="20"/>
        <w:szCs w:val="32"/>
      </w:rPr>
    </w:lvl>
    <w:lvl w:ilvl="4">
      <w:start w:val="1"/>
      <w:numFmt w:val="upperLetter"/>
      <w:lvlText w:val="Appendix %5"/>
      <w:lvlJc w:val="left"/>
      <w:pPr>
        <w:tabs>
          <w:tab w:val="num" w:pos="1417"/>
        </w:tabs>
        <w:ind w:left="1417" w:hanging="1417"/>
      </w:pPr>
      <w:rPr>
        <w:rFonts w:hint="default"/>
        <w:b/>
        <w:i w:val="0"/>
        <w:color w:val="7F7E82"/>
        <w:sz w:val="40"/>
        <w:szCs w:val="20"/>
      </w:rPr>
    </w:lvl>
    <w:lvl w:ilvl="5">
      <w:start w:val="1"/>
      <w:numFmt w:val="none"/>
      <w:lvlText w:val=""/>
      <w:lvlJc w:val="left"/>
      <w:pPr>
        <w:tabs>
          <w:tab w:val="num" w:pos="0"/>
        </w:tabs>
        <w:ind w:left="0" w:firstLine="0"/>
      </w:pPr>
      <w:rPr>
        <w:rFonts w:hint="default"/>
        <w:b/>
        <w:color w:val="7F7E82"/>
        <w:sz w:val="32"/>
        <w:szCs w:val="32"/>
      </w:rPr>
    </w:lvl>
    <w:lvl w:ilvl="6">
      <w:start w:val="1"/>
      <w:numFmt w:val="none"/>
      <w:lvlText w:val=""/>
      <w:lvlJc w:val="left"/>
      <w:pPr>
        <w:tabs>
          <w:tab w:val="num" w:pos="0"/>
        </w:tabs>
        <w:ind w:left="0" w:firstLine="0"/>
      </w:pPr>
      <w:rPr>
        <w:rFonts w:hint="default"/>
        <w:color w:val="4367C5"/>
        <w:sz w:val="32"/>
        <w:szCs w:val="32"/>
      </w:rPr>
    </w:lvl>
    <w:lvl w:ilvl="7">
      <w:start w:val="1"/>
      <w:numFmt w:val="none"/>
      <w:lvlText w:val=""/>
      <w:lvlJc w:val="left"/>
      <w:pPr>
        <w:tabs>
          <w:tab w:val="num" w:pos="0"/>
        </w:tabs>
        <w:ind w:left="0" w:firstLine="0"/>
      </w:pPr>
      <w:rPr>
        <w:rFonts w:hint="default"/>
        <w:color w:val="4367C5"/>
      </w:rPr>
    </w:lvl>
    <w:lvl w:ilvl="8">
      <w:start w:val="1"/>
      <w:numFmt w:val="none"/>
      <w:lvlText w:val=""/>
      <w:lvlJc w:val="left"/>
      <w:pPr>
        <w:tabs>
          <w:tab w:val="num" w:pos="0"/>
        </w:tabs>
        <w:ind w:left="0" w:firstLine="0"/>
      </w:pPr>
      <w:rPr>
        <w:rFonts w:hint="default"/>
        <w:color w:val="4367C5"/>
      </w:rPr>
    </w:lvl>
  </w:abstractNum>
  <w:abstractNum w:abstractNumId="21" w15:restartNumberingAfterBreak="0">
    <w:nsid w:val="542A09A8"/>
    <w:multiLevelType w:val="hybridMultilevel"/>
    <w:tmpl w:val="331044B0"/>
    <w:lvl w:ilvl="0" w:tplc="A8789A6A">
      <w:start w:val="1"/>
      <w:numFmt w:val="lowerRoman"/>
      <w:lvlText w:val="(%1)"/>
      <w:lvlJc w:val="right"/>
      <w:pPr>
        <w:tabs>
          <w:tab w:val="num" w:pos="720"/>
        </w:tabs>
        <w:ind w:left="720" w:hanging="360"/>
      </w:pPr>
    </w:lvl>
    <w:lvl w:ilvl="1" w:tplc="672EBC26" w:tentative="1">
      <w:start w:val="1"/>
      <w:numFmt w:val="lowerRoman"/>
      <w:lvlText w:val="(%2)"/>
      <w:lvlJc w:val="right"/>
      <w:pPr>
        <w:tabs>
          <w:tab w:val="num" w:pos="1440"/>
        </w:tabs>
        <w:ind w:left="1440" w:hanging="360"/>
      </w:pPr>
    </w:lvl>
    <w:lvl w:ilvl="2" w:tplc="B616F74E" w:tentative="1">
      <w:start w:val="1"/>
      <w:numFmt w:val="lowerRoman"/>
      <w:lvlText w:val="(%3)"/>
      <w:lvlJc w:val="right"/>
      <w:pPr>
        <w:tabs>
          <w:tab w:val="num" w:pos="2160"/>
        </w:tabs>
        <w:ind w:left="2160" w:hanging="360"/>
      </w:pPr>
    </w:lvl>
    <w:lvl w:ilvl="3" w:tplc="28EA0AE8" w:tentative="1">
      <w:start w:val="1"/>
      <w:numFmt w:val="lowerRoman"/>
      <w:lvlText w:val="(%4)"/>
      <w:lvlJc w:val="right"/>
      <w:pPr>
        <w:tabs>
          <w:tab w:val="num" w:pos="2880"/>
        </w:tabs>
        <w:ind w:left="2880" w:hanging="360"/>
      </w:pPr>
    </w:lvl>
    <w:lvl w:ilvl="4" w:tplc="E212649A" w:tentative="1">
      <w:start w:val="1"/>
      <w:numFmt w:val="lowerRoman"/>
      <w:lvlText w:val="(%5)"/>
      <w:lvlJc w:val="right"/>
      <w:pPr>
        <w:tabs>
          <w:tab w:val="num" w:pos="3600"/>
        </w:tabs>
        <w:ind w:left="3600" w:hanging="360"/>
      </w:pPr>
    </w:lvl>
    <w:lvl w:ilvl="5" w:tplc="F6B87C56" w:tentative="1">
      <w:start w:val="1"/>
      <w:numFmt w:val="lowerRoman"/>
      <w:lvlText w:val="(%6)"/>
      <w:lvlJc w:val="right"/>
      <w:pPr>
        <w:tabs>
          <w:tab w:val="num" w:pos="4320"/>
        </w:tabs>
        <w:ind w:left="4320" w:hanging="360"/>
      </w:pPr>
    </w:lvl>
    <w:lvl w:ilvl="6" w:tplc="6A02434E" w:tentative="1">
      <w:start w:val="1"/>
      <w:numFmt w:val="lowerRoman"/>
      <w:lvlText w:val="(%7)"/>
      <w:lvlJc w:val="right"/>
      <w:pPr>
        <w:tabs>
          <w:tab w:val="num" w:pos="5040"/>
        </w:tabs>
        <w:ind w:left="5040" w:hanging="360"/>
      </w:pPr>
    </w:lvl>
    <w:lvl w:ilvl="7" w:tplc="5EC63DFE" w:tentative="1">
      <w:start w:val="1"/>
      <w:numFmt w:val="lowerRoman"/>
      <w:lvlText w:val="(%8)"/>
      <w:lvlJc w:val="right"/>
      <w:pPr>
        <w:tabs>
          <w:tab w:val="num" w:pos="5760"/>
        </w:tabs>
        <w:ind w:left="5760" w:hanging="360"/>
      </w:pPr>
    </w:lvl>
    <w:lvl w:ilvl="8" w:tplc="88744AF6" w:tentative="1">
      <w:start w:val="1"/>
      <w:numFmt w:val="lowerRoman"/>
      <w:lvlText w:val="(%9)"/>
      <w:lvlJc w:val="right"/>
      <w:pPr>
        <w:tabs>
          <w:tab w:val="num" w:pos="6480"/>
        </w:tabs>
        <w:ind w:left="6480" w:hanging="360"/>
      </w:pPr>
    </w:lvl>
  </w:abstractNum>
  <w:abstractNum w:abstractNumId="22" w15:restartNumberingAfterBreak="0">
    <w:nsid w:val="56A074FF"/>
    <w:multiLevelType w:val="hybridMultilevel"/>
    <w:tmpl w:val="7C2AF21A"/>
    <w:lvl w:ilvl="0" w:tplc="0C090019">
      <w:start w:val="1"/>
      <w:numFmt w:val="lowerLetter"/>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586A26FF"/>
    <w:multiLevelType w:val="hybridMultilevel"/>
    <w:tmpl w:val="8026B178"/>
    <w:lvl w:ilvl="0" w:tplc="E6B40E22">
      <w:start w:val="1"/>
      <w:numFmt w:val="bullet"/>
      <w:lvlText w:val="•"/>
      <w:lvlJc w:val="left"/>
      <w:pPr>
        <w:tabs>
          <w:tab w:val="num" w:pos="720"/>
        </w:tabs>
        <w:ind w:left="720" w:hanging="360"/>
      </w:pPr>
      <w:rPr>
        <w:rFonts w:ascii="Arial" w:hAnsi="Arial" w:hint="default"/>
      </w:rPr>
    </w:lvl>
    <w:lvl w:ilvl="1" w:tplc="B1049C72" w:tentative="1">
      <w:start w:val="1"/>
      <w:numFmt w:val="bullet"/>
      <w:lvlText w:val="•"/>
      <w:lvlJc w:val="left"/>
      <w:pPr>
        <w:tabs>
          <w:tab w:val="num" w:pos="1440"/>
        </w:tabs>
        <w:ind w:left="1440" w:hanging="360"/>
      </w:pPr>
      <w:rPr>
        <w:rFonts w:ascii="Arial" w:hAnsi="Arial" w:hint="default"/>
      </w:rPr>
    </w:lvl>
    <w:lvl w:ilvl="2" w:tplc="42D441DA" w:tentative="1">
      <w:start w:val="1"/>
      <w:numFmt w:val="bullet"/>
      <w:lvlText w:val="•"/>
      <w:lvlJc w:val="left"/>
      <w:pPr>
        <w:tabs>
          <w:tab w:val="num" w:pos="2160"/>
        </w:tabs>
        <w:ind w:left="2160" w:hanging="360"/>
      </w:pPr>
      <w:rPr>
        <w:rFonts w:ascii="Arial" w:hAnsi="Arial" w:hint="default"/>
      </w:rPr>
    </w:lvl>
    <w:lvl w:ilvl="3" w:tplc="CE369408" w:tentative="1">
      <w:start w:val="1"/>
      <w:numFmt w:val="bullet"/>
      <w:lvlText w:val="•"/>
      <w:lvlJc w:val="left"/>
      <w:pPr>
        <w:tabs>
          <w:tab w:val="num" w:pos="2880"/>
        </w:tabs>
        <w:ind w:left="2880" w:hanging="360"/>
      </w:pPr>
      <w:rPr>
        <w:rFonts w:ascii="Arial" w:hAnsi="Arial" w:hint="default"/>
      </w:rPr>
    </w:lvl>
    <w:lvl w:ilvl="4" w:tplc="96E2013E" w:tentative="1">
      <w:start w:val="1"/>
      <w:numFmt w:val="bullet"/>
      <w:lvlText w:val="•"/>
      <w:lvlJc w:val="left"/>
      <w:pPr>
        <w:tabs>
          <w:tab w:val="num" w:pos="3600"/>
        </w:tabs>
        <w:ind w:left="3600" w:hanging="360"/>
      </w:pPr>
      <w:rPr>
        <w:rFonts w:ascii="Arial" w:hAnsi="Arial" w:hint="default"/>
      </w:rPr>
    </w:lvl>
    <w:lvl w:ilvl="5" w:tplc="11846484" w:tentative="1">
      <w:start w:val="1"/>
      <w:numFmt w:val="bullet"/>
      <w:lvlText w:val="•"/>
      <w:lvlJc w:val="left"/>
      <w:pPr>
        <w:tabs>
          <w:tab w:val="num" w:pos="4320"/>
        </w:tabs>
        <w:ind w:left="4320" w:hanging="360"/>
      </w:pPr>
      <w:rPr>
        <w:rFonts w:ascii="Arial" w:hAnsi="Arial" w:hint="default"/>
      </w:rPr>
    </w:lvl>
    <w:lvl w:ilvl="6" w:tplc="B2A8799C" w:tentative="1">
      <w:start w:val="1"/>
      <w:numFmt w:val="bullet"/>
      <w:lvlText w:val="•"/>
      <w:lvlJc w:val="left"/>
      <w:pPr>
        <w:tabs>
          <w:tab w:val="num" w:pos="5040"/>
        </w:tabs>
        <w:ind w:left="5040" w:hanging="360"/>
      </w:pPr>
      <w:rPr>
        <w:rFonts w:ascii="Arial" w:hAnsi="Arial" w:hint="default"/>
      </w:rPr>
    </w:lvl>
    <w:lvl w:ilvl="7" w:tplc="EFBA50C0" w:tentative="1">
      <w:start w:val="1"/>
      <w:numFmt w:val="bullet"/>
      <w:lvlText w:val="•"/>
      <w:lvlJc w:val="left"/>
      <w:pPr>
        <w:tabs>
          <w:tab w:val="num" w:pos="5760"/>
        </w:tabs>
        <w:ind w:left="5760" w:hanging="360"/>
      </w:pPr>
      <w:rPr>
        <w:rFonts w:ascii="Arial" w:hAnsi="Arial" w:hint="default"/>
      </w:rPr>
    </w:lvl>
    <w:lvl w:ilvl="8" w:tplc="46580128"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C02073D"/>
    <w:multiLevelType w:val="hybridMultilevel"/>
    <w:tmpl w:val="F81604CA"/>
    <w:lvl w:ilvl="0" w:tplc="A024ED5E">
      <w:start w:val="1"/>
      <w:numFmt w:val="bullet"/>
      <w:lvlText w:val="►"/>
      <w:lvlJc w:val="left"/>
      <w:pPr>
        <w:tabs>
          <w:tab w:val="num" w:pos="1512"/>
        </w:tabs>
        <w:ind w:left="1512" w:hanging="360"/>
      </w:pPr>
      <w:rPr>
        <w:rFonts w:ascii="Arial" w:hAnsi="Arial" w:hint="default"/>
        <w:color w:val="FFE600"/>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9659DD"/>
    <w:multiLevelType w:val="hybridMultilevel"/>
    <w:tmpl w:val="60D2AD64"/>
    <w:lvl w:ilvl="0" w:tplc="6634612E">
      <w:start w:val="1"/>
      <w:numFmt w:val="lowerRoman"/>
      <w:lvlText w:val="(%1)"/>
      <w:lvlJc w:val="right"/>
      <w:pPr>
        <w:tabs>
          <w:tab w:val="num" w:pos="720"/>
        </w:tabs>
        <w:ind w:left="720" w:hanging="360"/>
      </w:pPr>
    </w:lvl>
    <w:lvl w:ilvl="1" w:tplc="BB7E4BE6" w:tentative="1">
      <w:start w:val="1"/>
      <w:numFmt w:val="lowerRoman"/>
      <w:lvlText w:val="(%2)"/>
      <w:lvlJc w:val="right"/>
      <w:pPr>
        <w:tabs>
          <w:tab w:val="num" w:pos="1440"/>
        </w:tabs>
        <w:ind w:left="1440" w:hanging="360"/>
      </w:pPr>
    </w:lvl>
    <w:lvl w:ilvl="2" w:tplc="233068C2" w:tentative="1">
      <w:start w:val="1"/>
      <w:numFmt w:val="lowerRoman"/>
      <w:lvlText w:val="(%3)"/>
      <w:lvlJc w:val="right"/>
      <w:pPr>
        <w:tabs>
          <w:tab w:val="num" w:pos="2160"/>
        </w:tabs>
        <w:ind w:left="2160" w:hanging="360"/>
      </w:pPr>
    </w:lvl>
    <w:lvl w:ilvl="3" w:tplc="53648BA0" w:tentative="1">
      <w:start w:val="1"/>
      <w:numFmt w:val="lowerRoman"/>
      <w:lvlText w:val="(%4)"/>
      <w:lvlJc w:val="right"/>
      <w:pPr>
        <w:tabs>
          <w:tab w:val="num" w:pos="2880"/>
        </w:tabs>
        <w:ind w:left="2880" w:hanging="360"/>
      </w:pPr>
    </w:lvl>
    <w:lvl w:ilvl="4" w:tplc="F402B094" w:tentative="1">
      <w:start w:val="1"/>
      <w:numFmt w:val="lowerRoman"/>
      <w:lvlText w:val="(%5)"/>
      <w:lvlJc w:val="right"/>
      <w:pPr>
        <w:tabs>
          <w:tab w:val="num" w:pos="3600"/>
        </w:tabs>
        <w:ind w:left="3600" w:hanging="360"/>
      </w:pPr>
    </w:lvl>
    <w:lvl w:ilvl="5" w:tplc="8B965E68" w:tentative="1">
      <w:start w:val="1"/>
      <w:numFmt w:val="lowerRoman"/>
      <w:lvlText w:val="(%6)"/>
      <w:lvlJc w:val="right"/>
      <w:pPr>
        <w:tabs>
          <w:tab w:val="num" w:pos="4320"/>
        </w:tabs>
        <w:ind w:left="4320" w:hanging="360"/>
      </w:pPr>
    </w:lvl>
    <w:lvl w:ilvl="6" w:tplc="52A26572" w:tentative="1">
      <w:start w:val="1"/>
      <w:numFmt w:val="lowerRoman"/>
      <w:lvlText w:val="(%7)"/>
      <w:lvlJc w:val="right"/>
      <w:pPr>
        <w:tabs>
          <w:tab w:val="num" w:pos="5040"/>
        </w:tabs>
        <w:ind w:left="5040" w:hanging="360"/>
      </w:pPr>
    </w:lvl>
    <w:lvl w:ilvl="7" w:tplc="1F1CB6C4" w:tentative="1">
      <w:start w:val="1"/>
      <w:numFmt w:val="lowerRoman"/>
      <w:lvlText w:val="(%8)"/>
      <w:lvlJc w:val="right"/>
      <w:pPr>
        <w:tabs>
          <w:tab w:val="num" w:pos="5760"/>
        </w:tabs>
        <w:ind w:left="5760" w:hanging="360"/>
      </w:pPr>
    </w:lvl>
    <w:lvl w:ilvl="8" w:tplc="31A85324" w:tentative="1">
      <w:start w:val="1"/>
      <w:numFmt w:val="lowerRoman"/>
      <w:lvlText w:val="(%9)"/>
      <w:lvlJc w:val="right"/>
      <w:pPr>
        <w:tabs>
          <w:tab w:val="num" w:pos="6480"/>
        </w:tabs>
        <w:ind w:left="6480" w:hanging="360"/>
      </w:pPr>
    </w:lvl>
  </w:abstractNum>
  <w:abstractNum w:abstractNumId="26" w15:restartNumberingAfterBreak="0">
    <w:nsid w:val="61C46DF1"/>
    <w:multiLevelType w:val="hybridMultilevel"/>
    <w:tmpl w:val="67D02B40"/>
    <w:lvl w:ilvl="0" w:tplc="3FA4C658">
      <w:start w:val="1"/>
      <w:numFmt w:val="decimal"/>
      <w:lvlText w:val="%1."/>
      <w:lvlJc w:val="left"/>
      <w:pPr>
        <w:tabs>
          <w:tab w:val="num" w:pos="720"/>
        </w:tabs>
        <w:ind w:left="720" w:hanging="360"/>
      </w:pPr>
    </w:lvl>
    <w:lvl w:ilvl="1" w:tplc="B852B4F2" w:tentative="1">
      <w:start w:val="1"/>
      <w:numFmt w:val="decimal"/>
      <w:lvlText w:val="%2."/>
      <w:lvlJc w:val="left"/>
      <w:pPr>
        <w:tabs>
          <w:tab w:val="num" w:pos="1440"/>
        </w:tabs>
        <w:ind w:left="1440" w:hanging="360"/>
      </w:pPr>
    </w:lvl>
    <w:lvl w:ilvl="2" w:tplc="24CCEACE" w:tentative="1">
      <w:start w:val="1"/>
      <w:numFmt w:val="decimal"/>
      <w:lvlText w:val="%3."/>
      <w:lvlJc w:val="left"/>
      <w:pPr>
        <w:tabs>
          <w:tab w:val="num" w:pos="2160"/>
        </w:tabs>
        <w:ind w:left="2160" w:hanging="360"/>
      </w:pPr>
    </w:lvl>
    <w:lvl w:ilvl="3" w:tplc="A8125F02" w:tentative="1">
      <w:start w:val="1"/>
      <w:numFmt w:val="decimal"/>
      <w:lvlText w:val="%4."/>
      <w:lvlJc w:val="left"/>
      <w:pPr>
        <w:tabs>
          <w:tab w:val="num" w:pos="2880"/>
        </w:tabs>
        <w:ind w:left="2880" w:hanging="360"/>
      </w:pPr>
    </w:lvl>
    <w:lvl w:ilvl="4" w:tplc="61205F32" w:tentative="1">
      <w:start w:val="1"/>
      <w:numFmt w:val="decimal"/>
      <w:lvlText w:val="%5."/>
      <w:lvlJc w:val="left"/>
      <w:pPr>
        <w:tabs>
          <w:tab w:val="num" w:pos="3600"/>
        </w:tabs>
        <w:ind w:left="3600" w:hanging="360"/>
      </w:pPr>
    </w:lvl>
    <w:lvl w:ilvl="5" w:tplc="5FA010B2" w:tentative="1">
      <w:start w:val="1"/>
      <w:numFmt w:val="decimal"/>
      <w:lvlText w:val="%6."/>
      <w:lvlJc w:val="left"/>
      <w:pPr>
        <w:tabs>
          <w:tab w:val="num" w:pos="4320"/>
        </w:tabs>
        <w:ind w:left="4320" w:hanging="360"/>
      </w:pPr>
    </w:lvl>
    <w:lvl w:ilvl="6" w:tplc="D0F03A08" w:tentative="1">
      <w:start w:val="1"/>
      <w:numFmt w:val="decimal"/>
      <w:lvlText w:val="%7."/>
      <w:lvlJc w:val="left"/>
      <w:pPr>
        <w:tabs>
          <w:tab w:val="num" w:pos="5040"/>
        </w:tabs>
        <w:ind w:left="5040" w:hanging="360"/>
      </w:pPr>
    </w:lvl>
    <w:lvl w:ilvl="7" w:tplc="D24ADE7E" w:tentative="1">
      <w:start w:val="1"/>
      <w:numFmt w:val="decimal"/>
      <w:lvlText w:val="%8."/>
      <w:lvlJc w:val="left"/>
      <w:pPr>
        <w:tabs>
          <w:tab w:val="num" w:pos="5760"/>
        </w:tabs>
        <w:ind w:left="5760" w:hanging="360"/>
      </w:pPr>
    </w:lvl>
    <w:lvl w:ilvl="8" w:tplc="0F28E11A" w:tentative="1">
      <w:start w:val="1"/>
      <w:numFmt w:val="decimal"/>
      <w:lvlText w:val="%9."/>
      <w:lvlJc w:val="left"/>
      <w:pPr>
        <w:tabs>
          <w:tab w:val="num" w:pos="6480"/>
        </w:tabs>
        <w:ind w:left="6480" w:hanging="360"/>
      </w:pPr>
    </w:lvl>
  </w:abstractNum>
  <w:abstractNum w:abstractNumId="27" w15:restartNumberingAfterBreak="0">
    <w:nsid w:val="63DC4181"/>
    <w:multiLevelType w:val="hybridMultilevel"/>
    <w:tmpl w:val="CC904104"/>
    <w:lvl w:ilvl="0" w:tplc="A8B24264">
      <w:start w:val="1"/>
      <w:numFmt w:val="lowerRoman"/>
      <w:lvlText w:val="%1."/>
      <w:lvlJc w:val="right"/>
      <w:pPr>
        <w:ind w:left="360" w:hanging="360"/>
      </w:pPr>
      <w:rPr>
        <w:rFonts w:ascii="EYInterstate Light" w:hAnsi="EYInterstate Light" w:hint="default"/>
        <w:sz w:val="20"/>
        <w:szCs w:val="2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640C5D09"/>
    <w:multiLevelType w:val="multilevel"/>
    <w:tmpl w:val="3182B9B8"/>
    <w:lvl w:ilvl="0">
      <w:start w:val="1"/>
      <w:numFmt w:val="upperLetter"/>
      <w:pStyle w:val="EYAppendix"/>
      <w:lvlText w:val="Appendix %1"/>
      <w:lvlJc w:val="left"/>
      <w:pPr>
        <w:tabs>
          <w:tab w:val="num" w:pos="2268"/>
        </w:tabs>
        <w:ind w:left="2268" w:hanging="2268"/>
      </w:pPr>
      <w:rPr>
        <w:rFonts w:hint="default"/>
        <w:color w:val="333333"/>
      </w:rPr>
    </w:lvl>
    <w:lvl w:ilvl="1">
      <w:start w:val="1"/>
      <w:numFmt w:val="none"/>
      <w:lvlText w:val=""/>
      <w:lvlJc w:val="left"/>
      <w:pPr>
        <w:tabs>
          <w:tab w:val="num" w:pos="-31680"/>
        </w:tabs>
        <w:ind w:left="-32767" w:firstLine="32767"/>
      </w:pPr>
      <w:rPr>
        <w:rFonts w:hint="default"/>
        <w:b w:val="0"/>
        <w:i w:val="0"/>
        <w:color w:val="auto"/>
        <w:sz w:val="28"/>
        <w:szCs w:val="32"/>
      </w:rPr>
    </w:lvl>
    <w:lvl w:ilvl="2">
      <w:start w:val="1"/>
      <w:numFmt w:val="none"/>
      <w:lvlText w:val=""/>
      <w:lvlJc w:val="left"/>
      <w:pPr>
        <w:tabs>
          <w:tab w:val="num" w:pos="-31680"/>
        </w:tabs>
        <w:ind w:left="-32767" w:firstLine="32767"/>
      </w:pPr>
      <w:rPr>
        <w:rFonts w:hint="default"/>
        <w:b/>
        <w:color w:val="auto"/>
        <w:sz w:val="24"/>
        <w:szCs w:val="32"/>
      </w:rPr>
    </w:lvl>
    <w:lvl w:ilvl="3">
      <w:start w:val="1"/>
      <w:numFmt w:val="decimal"/>
      <w:lvlText w:val="%4%1"/>
      <w:lvlJc w:val="left"/>
      <w:pPr>
        <w:tabs>
          <w:tab w:val="num" w:pos="-31680"/>
        </w:tabs>
        <w:ind w:left="-32767" w:firstLine="32767"/>
      </w:pPr>
      <w:rPr>
        <w:rFonts w:hint="default"/>
        <w:b/>
        <w:color w:val="auto"/>
        <w:sz w:val="20"/>
        <w:szCs w:val="32"/>
      </w:rPr>
    </w:lvl>
    <w:lvl w:ilvl="4">
      <w:start w:val="1"/>
      <w:numFmt w:val="none"/>
      <w:lvlRestart w:val="0"/>
      <w:lvlText w:val=""/>
      <w:lvlJc w:val="left"/>
      <w:pPr>
        <w:tabs>
          <w:tab w:val="num" w:pos="0"/>
        </w:tabs>
        <w:ind w:left="0" w:firstLine="0"/>
      </w:pPr>
      <w:rPr>
        <w:rFonts w:hint="default"/>
        <w:b/>
        <w:i w:val="0"/>
        <w:color w:val="7F7E82"/>
        <w:sz w:val="40"/>
        <w:szCs w:val="20"/>
      </w:rPr>
    </w:lvl>
    <w:lvl w:ilvl="5">
      <w:start w:val="1"/>
      <w:numFmt w:val="none"/>
      <w:lvlRestart w:val="0"/>
      <w:lvlText w:val=""/>
      <w:lvlJc w:val="left"/>
      <w:pPr>
        <w:tabs>
          <w:tab w:val="num" w:pos="0"/>
        </w:tabs>
        <w:ind w:left="0" w:firstLine="0"/>
      </w:pPr>
      <w:rPr>
        <w:rFonts w:hint="default"/>
        <w:b/>
        <w:color w:val="4367C5"/>
        <w:sz w:val="32"/>
        <w:szCs w:val="32"/>
      </w:rPr>
    </w:lvl>
    <w:lvl w:ilvl="6">
      <w:start w:val="1"/>
      <w:numFmt w:val="none"/>
      <w:lvlRestart w:val="0"/>
      <w:lvlText w:val=""/>
      <w:lvlJc w:val="left"/>
      <w:pPr>
        <w:tabs>
          <w:tab w:val="num" w:pos="0"/>
        </w:tabs>
        <w:ind w:left="0" w:firstLine="0"/>
      </w:pPr>
      <w:rPr>
        <w:rFonts w:hint="default"/>
        <w:color w:val="4367C5"/>
        <w:sz w:val="32"/>
        <w:szCs w:val="32"/>
      </w:rPr>
    </w:lvl>
    <w:lvl w:ilvl="7">
      <w:start w:val="1"/>
      <w:numFmt w:val="none"/>
      <w:lvlRestart w:val="0"/>
      <w:lvlText w:val=""/>
      <w:lvlJc w:val="left"/>
      <w:pPr>
        <w:tabs>
          <w:tab w:val="num" w:pos="0"/>
        </w:tabs>
        <w:ind w:left="0" w:firstLine="0"/>
      </w:pPr>
      <w:rPr>
        <w:rFonts w:hint="default"/>
        <w:color w:val="4367C5"/>
      </w:rPr>
    </w:lvl>
    <w:lvl w:ilvl="8">
      <w:numFmt w:val="none"/>
      <w:lvlRestart w:val="0"/>
      <w:lvlText w:val=""/>
      <w:lvlJc w:val="left"/>
      <w:pPr>
        <w:tabs>
          <w:tab w:val="num" w:pos="0"/>
        </w:tabs>
        <w:ind w:left="0" w:firstLine="0"/>
      </w:pPr>
      <w:rPr>
        <w:rFonts w:hint="default"/>
        <w:color w:val="4367C5"/>
      </w:rPr>
    </w:lvl>
  </w:abstractNum>
  <w:abstractNum w:abstractNumId="29" w15:restartNumberingAfterBreak="0">
    <w:nsid w:val="689B455F"/>
    <w:multiLevelType w:val="hybridMultilevel"/>
    <w:tmpl w:val="45ECFA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8DF7DE1"/>
    <w:multiLevelType w:val="hybridMultilevel"/>
    <w:tmpl w:val="E1BEBDE4"/>
    <w:lvl w:ilvl="0" w:tplc="0C090001">
      <w:start w:val="1"/>
      <w:numFmt w:val="bullet"/>
      <w:lvlText w:val=""/>
      <w:lvlJc w:val="left"/>
      <w:pPr>
        <w:ind w:left="771" w:hanging="360"/>
      </w:pPr>
      <w:rPr>
        <w:rFonts w:ascii="Symbol" w:hAnsi="Symbol" w:hint="default"/>
      </w:rPr>
    </w:lvl>
    <w:lvl w:ilvl="1" w:tplc="0C090003">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31" w15:restartNumberingAfterBreak="0">
    <w:nsid w:val="6E0F0250"/>
    <w:multiLevelType w:val="hybridMultilevel"/>
    <w:tmpl w:val="A6BC001E"/>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3A37718"/>
    <w:multiLevelType w:val="multilevel"/>
    <w:tmpl w:val="B12A2EF4"/>
    <w:lvl w:ilvl="0">
      <w:start w:val="1"/>
      <w:numFmt w:val="bullet"/>
      <w:pStyle w:val="EYTablebullet1"/>
      <w:lvlText w:val="►"/>
      <w:lvlJc w:val="left"/>
      <w:pPr>
        <w:tabs>
          <w:tab w:val="num" w:pos="284"/>
        </w:tabs>
        <w:ind w:left="284" w:hanging="284"/>
      </w:pPr>
      <w:rPr>
        <w:rFonts w:ascii="Arial" w:hAnsi="Arial" w:cs="Times New Roman" w:hint="default"/>
        <w:b w:val="0"/>
        <w:bCs/>
        <w:i w:val="0"/>
        <w:color w:val="auto"/>
        <w:sz w:val="12"/>
        <w:szCs w:val="24"/>
      </w:rPr>
    </w:lvl>
    <w:lvl w:ilvl="1">
      <w:start w:val="1"/>
      <w:numFmt w:val="bullet"/>
      <w:pStyle w:val="EYTablebullet2"/>
      <w:lvlText w:val="►"/>
      <w:lvlJc w:val="left"/>
      <w:pPr>
        <w:tabs>
          <w:tab w:val="num" w:pos="567"/>
        </w:tabs>
        <w:ind w:left="567" w:hanging="283"/>
      </w:pPr>
      <w:rPr>
        <w:rFonts w:ascii="Arial" w:hAnsi="Arial" w:cs="Times New Roman" w:hint="default"/>
        <w:b w:val="0"/>
        <w:i w:val="0"/>
        <w:color w:val="auto"/>
        <w:sz w:val="12"/>
        <w:szCs w:val="24"/>
      </w:rPr>
    </w:lvl>
    <w:lvl w:ilvl="2">
      <w:start w:val="1"/>
      <w:numFmt w:val="none"/>
      <w:lvlText w:val=""/>
      <w:lvlJc w:val="left"/>
      <w:pPr>
        <w:tabs>
          <w:tab w:val="num" w:pos="0"/>
        </w:tabs>
        <w:ind w:left="0" w:firstLine="0"/>
      </w:pPr>
      <w:rPr>
        <w:rFonts w:hint="default"/>
        <w:color w:val="002261"/>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3240"/>
        </w:tabs>
        <w:ind w:left="2232" w:hanging="792"/>
      </w:pPr>
      <w:rPr>
        <w:rFonts w:hint="default"/>
      </w:rPr>
    </w:lvl>
    <w:lvl w:ilvl="5">
      <w:start w:val="1"/>
      <w:numFmt w:val="none"/>
      <w:lvlText w:val=""/>
      <w:lvlJc w:val="left"/>
      <w:pPr>
        <w:tabs>
          <w:tab w:val="num" w:pos="3960"/>
        </w:tabs>
        <w:ind w:left="2736" w:hanging="936"/>
      </w:pPr>
      <w:rPr>
        <w:rFonts w:hint="default"/>
      </w:rPr>
    </w:lvl>
    <w:lvl w:ilvl="6">
      <w:start w:val="1"/>
      <w:numFmt w:val="none"/>
      <w:lvlText w:val=""/>
      <w:lvlJc w:val="left"/>
      <w:pPr>
        <w:tabs>
          <w:tab w:val="num" w:pos="4680"/>
        </w:tabs>
        <w:ind w:left="3240" w:hanging="1080"/>
      </w:pPr>
      <w:rPr>
        <w:rFonts w:hint="default"/>
      </w:rPr>
    </w:lvl>
    <w:lvl w:ilvl="7">
      <w:start w:val="1"/>
      <w:numFmt w:val="none"/>
      <w:lvlText w:val=""/>
      <w:lvlJc w:val="left"/>
      <w:pPr>
        <w:tabs>
          <w:tab w:val="num" w:pos="5400"/>
        </w:tabs>
        <w:ind w:left="3744" w:hanging="1224"/>
      </w:pPr>
      <w:rPr>
        <w:rFonts w:hint="default"/>
      </w:rPr>
    </w:lvl>
    <w:lvl w:ilvl="8">
      <w:start w:val="1"/>
      <w:numFmt w:val="none"/>
      <w:lvlText w:val=""/>
      <w:lvlJc w:val="left"/>
      <w:pPr>
        <w:tabs>
          <w:tab w:val="num" w:pos="5760"/>
        </w:tabs>
        <w:ind w:left="4320" w:hanging="1440"/>
      </w:pPr>
      <w:rPr>
        <w:rFonts w:hint="default"/>
      </w:rPr>
    </w:lvl>
  </w:abstractNum>
  <w:abstractNum w:abstractNumId="33" w15:restartNumberingAfterBreak="0">
    <w:nsid w:val="7606248E"/>
    <w:multiLevelType w:val="hybridMultilevel"/>
    <w:tmpl w:val="0BB46D04"/>
    <w:lvl w:ilvl="0" w:tplc="C52A91C8">
      <w:start w:val="6"/>
      <w:numFmt w:val="bullet"/>
      <w:lvlText w:val="-"/>
      <w:lvlJc w:val="left"/>
      <w:pPr>
        <w:ind w:left="770" w:hanging="360"/>
      </w:pPr>
      <w:rPr>
        <w:rFonts w:ascii="EYInterstate Light" w:eastAsia="Times New Roman" w:hAnsi="EYInterstate Light" w:cs="Times New Roman"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34" w15:restartNumberingAfterBreak="0">
    <w:nsid w:val="779730BE"/>
    <w:multiLevelType w:val="multilevel"/>
    <w:tmpl w:val="12209E72"/>
    <w:styleLink w:val="StyleNumbered"/>
    <w:lvl w:ilvl="0">
      <w:start w:val="1"/>
      <w:numFmt w:val="lowerRoman"/>
      <w:lvlText w:val="%1)"/>
      <w:lvlJc w:val="left"/>
      <w:pPr>
        <w:tabs>
          <w:tab w:val="num" w:pos="360"/>
        </w:tabs>
        <w:ind w:left="360" w:hanging="360"/>
      </w:pPr>
      <w:rPr>
        <w:rFonts w:ascii="EYInterstate Light" w:hAnsi="EYInterstate Light" w:hint="default"/>
        <w:sz w:val="24"/>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35" w15:restartNumberingAfterBreak="0">
    <w:nsid w:val="7C1C12A0"/>
    <w:multiLevelType w:val="hybridMultilevel"/>
    <w:tmpl w:val="9138BA58"/>
    <w:lvl w:ilvl="0" w:tplc="4FF8505E">
      <w:start w:val="1"/>
      <w:numFmt w:val="bullet"/>
      <w:lvlText w:val="•"/>
      <w:lvlJc w:val="left"/>
      <w:pPr>
        <w:tabs>
          <w:tab w:val="num" w:pos="720"/>
        </w:tabs>
        <w:ind w:left="720" w:hanging="360"/>
      </w:pPr>
      <w:rPr>
        <w:rFonts w:ascii="Arial" w:hAnsi="Arial" w:hint="default"/>
      </w:rPr>
    </w:lvl>
    <w:lvl w:ilvl="1" w:tplc="87789A74" w:tentative="1">
      <w:start w:val="1"/>
      <w:numFmt w:val="bullet"/>
      <w:lvlText w:val="•"/>
      <w:lvlJc w:val="left"/>
      <w:pPr>
        <w:tabs>
          <w:tab w:val="num" w:pos="1440"/>
        </w:tabs>
        <w:ind w:left="1440" w:hanging="360"/>
      </w:pPr>
      <w:rPr>
        <w:rFonts w:ascii="Arial" w:hAnsi="Arial" w:hint="default"/>
      </w:rPr>
    </w:lvl>
    <w:lvl w:ilvl="2" w:tplc="00F86B7C" w:tentative="1">
      <w:start w:val="1"/>
      <w:numFmt w:val="bullet"/>
      <w:lvlText w:val="•"/>
      <w:lvlJc w:val="left"/>
      <w:pPr>
        <w:tabs>
          <w:tab w:val="num" w:pos="2160"/>
        </w:tabs>
        <w:ind w:left="2160" w:hanging="360"/>
      </w:pPr>
      <w:rPr>
        <w:rFonts w:ascii="Arial" w:hAnsi="Arial" w:hint="default"/>
      </w:rPr>
    </w:lvl>
    <w:lvl w:ilvl="3" w:tplc="162AB87C" w:tentative="1">
      <w:start w:val="1"/>
      <w:numFmt w:val="bullet"/>
      <w:lvlText w:val="•"/>
      <w:lvlJc w:val="left"/>
      <w:pPr>
        <w:tabs>
          <w:tab w:val="num" w:pos="2880"/>
        </w:tabs>
        <w:ind w:left="2880" w:hanging="360"/>
      </w:pPr>
      <w:rPr>
        <w:rFonts w:ascii="Arial" w:hAnsi="Arial" w:hint="default"/>
      </w:rPr>
    </w:lvl>
    <w:lvl w:ilvl="4" w:tplc="171618B4" w:tentative="1">
      <w:start w:val="1"/>
      <w:numFmt w:val="bullet"/>
      <w:lvlText w:val="•"/>
      <w:lvlJc w:val="left"/>
      <w:pPr>
        <w:tabs>
          <w:tab w:val="num" w:pos="3600"/>
        </w:tabs>
        <w:ind w:left="3600" w:hanging="360"/>
      </w:pPr>
      <w:rPr>
        <w:rFonts w:ascii="Arial" w:hAnsi="Arial" w:hint="default"/>
      </w:rPr>
    </w:lvl>
    <w:lvl w:ilvl="5" w:tplc="045EEFBA" w:tentative="1">
      <w:start w:val="1"/>
      <w:numFmt w:val="bullet"/>
      <w:lvlText w:val="•"/>
      <w:lvlJc w:val="left"/>
      <w:pPr>
        <w:tabs>
          <w:tab w:val="num" w:pos="4320"/>
        </w:tabs>
        <w:ind w:left="4320" w:hanging="360"/>
      </w:pPr>
      <w:rPr>
        <w:rFonts w:ascii="Arial" w:hAnsi="Arial" w:hint="default"/>
      </w:rPr>
    </w:lvl>
    <w:lvl w:ilvl="6" w:tplc="79BE022A" w:tentative="1">
      <w:start w:val="1"/>
      <w:numFmt w:val="bullet"/>
      <w:lvlText w:val="•"/>
      <w:lvlJc w:val="left"/>
      <w:pPr>
        <w:tabs>
          <w:tab w:val="num" w:pos="5040"/>
        </w:tabs>
        <w:ind w:left="5040" w:hanging="360"/>
      </w:pPr>
      <w:rPr>
        <w:rFonts w:ascii="Arial" w:hAnsi="Arial" w:hint="default"/>
      </w:rPr>
    </w:lvl>
    <w:lvl w:ilvl="7" w:tplc="84A8AFFE" w:tentative="1">
      <w:start w:val="1"/>
      <w:numFmt w:val="bullet"/>
      <w:lvlText w:val="•"/>
      <w:lvlJc w:val="left"/>
      <w:pPr>
        <w:tabs>
          <w:tab w:val="num" w:pos="5760"/>
        </w:tabs>
        <w:ind w:left="5760" w:hanging="360"/>
      </w:pPr>
      <w:rPr>
        <w:rFonts w:ascii="Arial" w:hAnsi="Arial" w:hint="default"/>
      </w:rPr>
    </w:lvl>
    <w:lvl w:ilvl="8" w:tplc="2252F096" w:tentative="1">
      <w:start w:val="1"/>
      <w:numFmt w:val="bullet"/>
      <w:lvlText w:val="•"/>
      <w:lvlJc w:val="left"/>
      <w:pPr>
        <w:tabs>
          <w:tab w:val="num" w:pos="6480"/>
        </w:tabs>
        <w:ind w:left="6480" w:hanging="360"/>
      </w:pPr>
      <w:rPr>
        <w:rFonts w:ascii="Arial" w:hAnsi="Arial" w:hint="default"/>
      </w:rPr>
    </w:lvl>
  </w:abstractNum>
  <w:num w:numId="1" w16cid:durableId="1946036146">
    <w:abstractNumId w:val="1"/>
  </w:num>
  <w:num w:numId="2" w16cid:durableId="242180957">
    <w:abstractNumId w:val="5"/>
  </w:num>
  <w:num w:numId="3" w16cid:durableId="947275471">
    <w:abstractNumId w:val="10"/>
  </w:num>
  <w:num w:numId="4" w16cid:durableId="47732872">
    <w:abstractNumId w:val="28"/>
  </w:num>
  <w:num w:numId="5" w16cid:durableId="1272933029">
    <w:abstractNumId w:val="1"/>
  </w:num>
  <w:num w:numId="6" w16cid:durableId="1156917614">
    <w:abstractNumId w:val="32"/>
  </w:num>
  <w:num w:numId="7" w16cid:durableId="408617273">
    <w:abstractNumId w:val="18"/>
  </w:num>
  <w:num w:numId="8" w16cid:durableId="734663014">
    <w:abstractNumId w:val="15"/>
  </w:num>
  <w:num w:numId="9" w16cid:durableId="1202286161">
    <w:abstractNumId w:val="5"/>
  </w:num>
  <w:num w:numId="10" w16cid:durableId="1897862215">
    <w:abstractNumId w:val="34"/>
  </w:num>
  <w:num w:numId="11" w16cid:durableId="949707071">
    <w:abstractNumId w:val="20"/>
  </w:num>
  <w:num w:numId="12" w16cid:durableId="1997683989">
    <w:abstractNumId w:val="24"/>
  </w:num>
  <w:num w:numId="13" w16cid:durableId="1166675531">
    <w:abstractNumId w:val="8"/>
  </w:num>
  <w:num w:numId="14" w16cid:durableId="566381455">
    <w:abstractNumId w:val="7"/>
  </w:num>
  <w:num w:numId="15" w16cid:durableId="107547261">
    <w:abstractNumId w:val="0"/>
  </w:num>
  <w:num w:numId="16" w16cid:durableId="799958350">
    <w:abstractNumId w:val="13"/>
  </w:num>
  <w:num w:numId="17" w16cid:durableId="954823179">
    <w:abstractNumId w:val="30"/>
  </w:num>
  <w:num w:numId="18" w16cid:durableId="1613508980">
    <w:abstractNumId w:val="31"/>
  </w:num>
  <w:num w:numId="19" w16cid:durableId="1520581179">
    <w:abstractNumId w:val="15"/>
  </w:num>
  <w:num w:numId="20" w16cid:durableId="926500242">
    <w:abstractNumId w:val="6"/>
  </w:num>
  <w:num w:numId="21" w16cid:durableId="1026905995">
    <w:abstractNumId w:val="15"/>
  </w:num>
  <w:num w:numId="22" w16cid:durableId="1935236040">
    <w:abstractNumId w:val="15"/>
  </w:num>
  <w:num w:numId="23" w16cid:durableId="1675961346">
    <w:abstractNumId w:val="15"/>
  </w:num>
  <w:num w:numId="24" w16cid:durableId="1973512955">
    <w:abstractNumId w:val="29"/>
  </w:num>
  <w:num w:numId="25" w16cid:durableId="1152791419">
    <w:abstractNumId w:val="15"/>
  </w:num>
  <w:num w:numId="26" w16cid:durableId="514421056">
    <w:abstractNumId w:val="16"/>
  </w:num>
  <w:num w:numId="27" w16cid:durableId="798037869">
    <w:abstractNumId w:val="33"/>
  </w:num>
  <w:num w:numId="28" w16cid:durableId="962149346">
    <w:abstractNumId w:val="15"/>
  </w:num>
  <w:num w:numId="29" w16cid:durableId="1598177837">
    <w:abstractNumId w:val="9"/>
  </w:num>
  <w:num w:numId="30" w16cid:durableId="1313407482">
    <w:abstractNumId w:val="2"/>
  </w:num>
  <w:num w:numId="31" w16cid:durableId="549340976">
    <w:abstractNumId w:val="11"/>
  </w:num>
  <w:num w:numId="32" w16cid:durableId="329721061">
    <w:abstractNumId w:val="14"/>
  </w:num>
  <w:num w:numId="33" w16cid:durableId="1503812997">
    <w:abstractNumId w:val="23"/>
  </w:num>
  <w:num w:numId="34" w16cid:durableId="765078598">
    <w:abstractNumId w:val="35"/>
  </w:num>
  <w:num w:numId="35" w16cid:durableId="611210580">
    <w:abstractNumId w:val="26"/>
  </w:num>
  <w:num w:numId="36" w16cid:durableId="993988866">
    <w:abstractNumId w:val="4"/>
  </w:num>
  <w:num w:numId="37" w16cid:durableId="1488550468">
    <w:abstractNumId w:val="3"/>
  </w:num>
  <w:num w:numId="38" w16cid:durableId="1444766621">
    <w:abstractNumId w:val="19"/>
  </w:num>
  <w:num w:numId="39" w16cid:durableId="1262568968">
    <w:abstractNumId w:val="21"/>
  </w:num>
  <w:num w:numId="40" w16cid:durableId="1938320131">
    <w:abstractNumId w:val="25"/>
  </w:num>
  <w:num w:numId="41" w16cid:durableId="142236035">
    <w:abstractNumId w:val="12"/>
  </w:num>
  <w:num w:numId="42" w16cid:durableId="324169400">
    <w:abstractNumId w:val="27"/>
  </w:num>
  <w:num w:numId="43" w16cid:durableId="1400446609">
    <w:abstractNumId w:val="22"/>
  </w:num>
  <w:num w:numId="44" w16cid:durableId="1404375349">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425"/>
  <w:drawingGridHorizontalSpacing w:val="237"/>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9A8"/>
    <w:rsid w:val="00000067"/>
    <w:rsid w:val="00000632"/>
    <w:rsid w:val="0000173C"/>
    <w:rsid w:val="00002048"/>
    <w:rsid w:val="00002184"/>
    <w:rsid w:val="00002D11"/>
    <w:rsid w:val="00004640"/>
    <w:rsid w:val="000058DA"/>
    <w:rsid w:val="000065EA"/>
    <w:rsid w:val="00010795"/>
    <w:rsid w:val="000115DF"/>
    <w:rsid w:val="00011FB5"/>
    <w:rsid w:val="0001200E"/>
    <w:rsid w:val="00012015"/>
    <w:rsid w:val="00012831"/>
    <w:rsid w:val="00012C66"/>
    <w:rsid w:val="00012E3A"/>
    <w:rsid w:val="00012E91"/>
    <w:rsid w:val="000131DE"/>
    <w:rsid w:val="00013D43"/>
    <w:rsid w:val="00013DD5"/>
    <w:rsid w:val="00014317"/>
    <w:rsid w:val="000144AA"/>
    <w:rsid w:val="000148A5"/>
    <w:rsid w:val="0001548A"/>
    <w:rsid w:val="00016393"/>
    <w:rsid w:val="00016E9A"/>
    <w:rsid w:val="00016EDE"/>
    <w:rsid w:val="00020746"/>
    <w:rsid w:val="00020CFA"/>
    <w:rsid w:val="00021206"/>
    <w:rsid w:val="00021353"/>
    <w:rsid w:val="00021964"/>
    <w:rsid w:val="00021CC9"/>
    <w:rsid w:val="00022442"/>
    <w:rsid w:val="00022B22"/>
    <w:rsid w:val="00022D24"/>
    <w:rsid w:val="00023594"/>
    <w:rsid w:val="00023602"/>
    <w:rsid w:val="0002393A"/>
    <w:rsid w:val="00023989"/>
    <w:rsid w:val="00023BFF"/>
    <w:rsid w:val="000241D1"/>
    <w:rsid w:val="00024BF1"/>
    <w:rsid w:val="000260F3"/>
    <w:rsid w:val="00026293"/>
    <w:rsid w:val="000267D1"/>
    <w:rsid w:val="00027649"/>
    <w:rsid w:val="0002783C"/>
    <w:rsid w:val="000305A7"/>
    <w:rsid w:val="00030691"/>
    <w:rsid w:val="00031296"/>
    <w:rsid w:val="000319EA"/>
    <w:rsid w:val="0003311F"/>
    <w:rsid w:val="00033492"/>
    <w:rsid w:val="000334A3"/>
    <w:rsid w:val="00034463"/>
    <w:rsid w:val="000355B0"/>
    <w:rsid w:val="00035C31"/>
    <w:rsid w:val="000360FA"/>
    <w:rsid w:val="000365A9"/>
    <w:rsid w:val="000366B4"/>
    <w:rsid w:val="00037293"/>
    <w:rsid w:val="00037DF7"/>
    <w:rsid w:val="0004065B"/>
    <w:rsid w:val="00040974"/>
    <w:rsid w:val="000417D1"/>
    <w:rsid w:val="000424EA"/>
    <w:rsid w:val="00042886"/>
    <w:rsid w:val="000429DE"/>
    <w:rsid w:val="00042B5D"/>
    <w:rsid w:val="00042E61"/>
    <w:rsid w:val="00043025"/>
    <w:rsid w:val="00043709"/>
    <w:rsid w:val="00044548"/>
    <w:rsid w:val="00044BB1"/>
    <w:rsid w:val="00044C85"/>
    <w:rsid w:val="000457ED"/>
    <w:rsid w:val="0004618F"/>
    <w:rsid w:val="000479B0"/>
    <w:rsid w:val="00047AC6"/>
    <w:rsid w:val="000502D6"/>
    <w:rsid w:val="000502D9"/>
    <w:rsid w:val="0005056E"/>
    <w:rsid w:val="00050A3B"/>
    <w:rsid w:val="00050B52"/>
    <w:rsid w:val="000513C4"/>
    <w:rsid w:val="00053413"/>
    <w:rsid w:val="00053788"/>
    <w:rsid w:val="0005404C"/>
    <w:rsid w:val="00054521"/>
    <w:rsid w:val="00054921"/>
    <w:rsid w:val="00054BAA"/>
    <w:rsid w:val="00054DE2"/>
    <w:rsid w:val="000553D1"/>
    <w:rsid w:val="00055507"/>
    <w:rsid w:val="00055ABE"/>
    <w:rsid w:val="000578A8"/>
    <w:rsid w:val="000605DB"/>
    <w:rsid w:val="00060765"/>
    <w:rsid w:val="000608E5"/>
    <w:rsid w:val="00060C2A"/>
    <w:rsid w:val="000618F6"/>
    <w:rsid w:val="000619B3"/>
    <w:rsid w:val="00061A2A"/>
    <w:rsid w:val="00061AF7"/>
    <w:rsid w:val="00061C69"/>
    <w:rsid w:val="000622AD"/>
    <w:rsid w:val="000623A6"/>
    <w:rsid w:val="00062497"/>
    <w:rsid w:val="00062A3B"/>
    <w:rsid w:val="00062AA4"/>
    <w:rsid w:val="00062C44"/>
    <w:rsid w:val="000633FD"/>
    <w:rsid w:val="000636DE"/>
    <w:rsid w:val="00063839"/>
    <w:rsid w:val="00064A8A"/>
    <w:rsid w:val="00064C5A"/>
    <w:rsid w:val="000652A0"/>
    <w:rsid w:val="00065C4C"/>
    <w:rsid w:val="00065FC5"/>
    <w:rsid w:val="00066036"/>
    <w:rsid w:val="00067975"/>
    <w:rsid w:val="00067E16"/>
    <w:rsid w:val="000707D8"/>
    <w:rsid w:val="00070BFF"/>
    <w:rsid w:val="0007188D"/>
    <w:rsid w:val="00071CDA"/>
    <w:rsid w:val="00071EAB"/>
    <w:rsid w:val="000724DB"/>
    <w:rsid w:val="00072D5B"/>
    <w:rsid w:val="00072F17"/>
    <w:rsid w:val="000734FD"/>
    <w:rsid w:val="0007414D"/>
    <w:rsid w:val="00074370"/>
    <w:rsid w:val="00074398"/>
    <w:rsid w:val="00074AAE"/>
    <w:rsid w:val="00075161"/>
    <w:rsid w:val="00075263"/>
    <w:rsid w:val="00075B3F"/>
    <w:rsid w:val="00076A6A"/>
    <w:rsid w:val="00076DAC"/>
    <w:rsid w:val="00077534"/>
    <w:rsid w:val="00077C2B"/>
    <w:rsid w:val="00080170"/>
    <w:rsid w:val="00080B54"/>
    <w:rsid w:val="00081455"/>
    <w:rsid w:val="00081D54"/>
    <w:rsid w:val="00082185"/>
    <w:rsid w:val="000822EB"/>
    <w:rsid w:val="000825A1"/>
    <w:rsid w:val="00082C48"/>
    <w:rsid w:val="000833B2"/>
    <w:rsid w:val="00083B94"/>
    <w:rsid w:val="00083E98"/>
    <w:rsid w:val="00084BEE"/>
    <w:rsid w:val="0008505F"/>
    <w:rsid w:val="00085CA2"/>
    <w:rsid w:val="00085D02"/>
    <w:rsid w:val="00086FE8"/>
    <w:rsid w:val="000871CC"/>
    <w:rsid w:val="00087484"/>
    <w:rsid w:val="00087488"/>
    <w:rsid w:val="00087C3E"/>
    <w:rsid w:val="00090213"/>
    <w:rsid w:val="000907D9"/>
    <w:rsid w:val="00090F00"/>
    <w:rsid w:val="00091591"/>
    <w:rsid w:val="00091829"/>
    <w:rsid w:val="00091A55"/>
    <w:rsid w:val="00091D36"/>
    <w:rsid w:val="0009241D"/>
    <w:rsid w:val="00092D6B"/>
    <w:rsid w:val="000933AB"/>
    <w:rsid w:val="0009349A"/>
    <w:rsid w:val="00094709"/>
    <w:rsid w:val="0009484D"/>
    <w:rsid w:val="00094D04"/>
    <w:rsid w:val="00094EA2"/>
    <w:rsid w:val="00095485"/>
    <w:rsid w:val="00095595"/>
    <w:rsid w:val="00096D58"/>
    <w:rsid w:val="00097A84"/>
    <w:rsid w:val="000A016E"/>
    <w:rsid w:val="000A0946"/>
    <w:rsid w:val="000A0F33"/>
    <w:rsid w:val="000A1A41"/>
    <w:rsid w:val="000A1BBA"/>
    <w:rsid w:val="000A1EF1"/>
    <w:rsid w:val="000A29CD"/>
    <w:rsid w:val="000A317A"/>
    <w:rsid w:val="000A3550"/>
    <w:rsid w:val="000A4102"/>
    <w:rsid w:val="000A54EA"/>
    <w:rsid w:val="000A5858"/>
    <w:rsid w:val="000A6CF4"/>
    <w:rsid w:val="000A70B9"/>
    <w:rsid w:val="000B0088"/>
    <w:rsid w:val="000B09D9"/>
    <w:rsid w:val="000B1AE2"/>
    <w:rsid w:val="000B251C"/>
    <w:rsid w:val="000B2EC6"/>
    <w:rsid w:val="000B3856"/>
    <w:rsid w:val="000B3D21"/>
    <w:rsid w:val="000B3E87"/>
    <w:rsid w:val="000B42D8"/>
    <w:rsid w:val="000B456C"/>
    <w:rsid w:val="000B4E27"/>
    <w:rsid w:val="000B500C"/>
    <w:rsid w:val="000B5139"/>
    <w:rsid w:val="000B52B8"/>
    <w:rsid w:val="000B5E8A"/>
    <w:rsid w:val="000B6A24"/>
    <w:rsid w:val="000B70AF"/>
    <w:rsid w:val="000C097C"/>
    <w:rsid w:val="000C1D27"/>
    <w:rsid w:val="000C1EDB"/>
    <w:rsid w:val="000C2495"/>
    <w:rsid w:val="000C2B3A"/>
    <w:rsid w:val="000C38B5"/>
    <w:rsid w:val="000C3A75"/>
    <w:rsid w:val="000C4165"/>
    <w:rsid w:val="000C49E5"/>
    <w:rsid w:val="000C4DCD"/>
    <w:rsid w:val="000C5D7F"/>
    <w:rsid w:val="000C6589"/>
    <w:rsid w:val="000C69EA"/>
    <w:rsid w:val="000C6EEA"/>
    <w:rsid w:val="000C7383"/>
    <w:rsid w:val="000C7D1B"/>
    <w:rsid w:val="000D0EDC"/>
    <w:rsid w:val="000D1859"/>
    <w:rsid w:val="000D27AE"/>
    <w:rsid w:val="000D3315"/>
    <w:rsid w:val="000D349E"/>
    <w:rsid w:val="000D3A05"/>
    <w:rsid w:val="000D3FB1"/>
    <w:rsid w:val="000D51F0"/>
    <w:rsid w:val="000D6449"/>
    <w:rsid w:val="000D6628"/>
    <w:rsid w:val="000D6CC6"/>
    <w:rsid w:val="000D7A18"/>
    <w:rsid w:val="000D7AE6"/>
    <w:rsid w:val="000D7D53"/>
    <w:rsid w:val="000E0809"/>
    <w:rsid w:val="000E1550"/>
    <w:rsid w:val="000E1820"/>
    <w:rsid w:val="000E18E5"/>
    <w:rsid w:val="000E1ABF"/>
    <w:rsid w:val="000E204C"/>
    <w:rsid w:val="000E29D1"/>
    <w:rsid w:val="000E2A30"/>
    <w:rsid w:val="000E3614"/>
    <w:rsid w:val="000E3FB7"/>
    <w:rsid w:val="000E4204"/>
    <w:rsid w:val="000E46B8"/>
    <w:rsid w:val="000E4A87"/>
    <w:rsid w:val="000E524E"/>
    <w:rsid w:val="000E5A82"/>
    <w:rsid w:val="000E5ADC"/>
    <w:rsid w:val="000E6017"/>
    <w:rsid w:val="000E68FD"/>
    <w:rsid w:val="000E6C9E"/>
    <w:rsid w:val="000E7CBE"/>
    <w:rsid w:val="000E7E0A"/>
    <w:rsid w:val="000F0118"/>
    <w:rsid w:val="000F195D"/>
    <w:rsid w:val="000F199F"/>
    <w:rsid w:val="000F1C72"/>
    <w:rsid w:val="000F1F73"/>
    <w:rsid w:val="000F30A1"/>
    <w:rsid w:val="000F34EC"/>
    <w:rsid w:val="000F3A50"/>
    <w:rsid w:val="000F46D4"/>
    <w:rsid w:val="000F4B09"/>
    <w:rsid w:val="000F56D5"/>
    <w:rsid w:val="000F587B"/>
    <w:rsid w:val="000F59E6"/>
    <w:rsid w:val="000F5D5D"/>
    <w:rsid w:val="000F5DAF"/>
    <w:rsid w:val="000F5DD0"/>
    <w:rsid w:val="000F6030"/>
    <w:rsid w:val="000F652F"/>
    <w:rsid w:val="000F73C4"/>
    <w:rsid w:val="000F773B"/>
    <w:rsid w:val="000F774D"/>
    <w:rsid w:val="001001ED"/>
    <w:rsid w:val="00100595"/>
    <w:rsid w:val="00100608"/>
    <w:rsid w:val="00100753"/>
    <w:rsid w:val="001016BF"/>
    <w:rsid w:val="001019E0"/>
    <w:rsid w:val="00101A5F"/>
    <w:rsid w:val="001025E1"/>
    <w:rsid w:val="00102A56"/>
    <w:rsid w:val="0010332B"/>
    <w:rsid w:val="00104446"/>
    <w:rsid w:val="00104790"/>
    <w:rsid w:val="00104C52"/>
    <w:rsid w:val="00105A7C"/>
    <w:rsid w:val="001060DE"/>
    <w:rsid w:val="001068CB"/>
    <w:rsid w:val="00106981"/>
    <w:rsid w:val="00106BA0"/>
    <w:rsid w:val="001105F5"/>
    <w:rsid w:val="00110708"/>
    <w:rsid w:val="00110FD2"/>
    <w:rsid w:val="0011293B"/>
    <w:rsid w:val="00112C29"/>
    <w:rsid w:val="0011333B"/>
    <w:rsid w:val="00113D64"/>
    <w:rsid w:val="00113E81"/>
    <w:rsid w:val="001150BB"/>
    <w:rsid w:val="001157A2"/>
    <w:rsid w:val="001158BC"/>
    <w:rsid w:val="00115997"/>
    <w:rsid w:val="00117038"/>
    <w:rsid w:val="0011726F"/>
    <w:rsid w:val="0012172C"/>
    <w:rsid w:val="00121ECD"/>
    <w:rsid w:val="00123667"/>
    <w:rsid w:val="00125086"/>
    <w:rsid w:val="001256BB"/>
    <w:rsid w:val="00125B4E"/>
    <w:rsid w:val="001263F6"/>
    <w:rsid w:val="00126CD3"/>
    <w:rsid w:val="00127654"/>
    <w:rsid w:val="0013136F"/>
    <w:rsid w:val="00131C01"/>
    <w:rsid w:val="00131CBD"/>
    <w:rsid w:val="00131DCD"/>
    <w:rsid w:val="00132164"/>
    <w:rsid w:val="00132427"/>
    <w:rsid w:val="00132688"/>
    <w:rsid w:val="00132919"/>
    <w:rsid w:val="00132EE4"/>
    <w:rsid w:val="0013353A"/>
    <w:rsid w:val="001335AE"/>
    <w:rsid w:val="00133824"/>
    <w:rsid w:val="00133846"/>
    <w:rsid w:val="00133C0B"/>
    <w:rsid w:val="00134383"/>
    <w:rsid w:val="001344ED"/>
    <w:rsid w:val="001346BC"/>
    <w:rsid w:val="00134E1F"/>
    <w:rsid w:val="001351DB"/>
    <w:rsid w:val="001354AB"/>
    <w:rsid w:val="001363EF"/>
    <w:rsid w:val="001375C9"/>
    <w:rsid w:val="00137F85"/>
    <w:rsid w:val="00140880"/>
    <w:rsid w:val="0014294D"/>
    <w:rsid w:val="00142B26"/>
    <w:rsid w:val="00142D12"/>
    <w:rsid w:val="0014309E"/>
    <w:rsid w:val="0014373B"/>
    <w:rsid w:val="00143B65"/>
    <w:rsid w:val="00145205"/>
    <w:rsid w:val="001461A9"/>
    <w:rsid w:val="001465D7"/>
    <w:rsid w:val="0014684F"/>
    <w:rsid w:val="0014769C"/>
    <w:rsid w:val="00147A16"/>
    <w:rsid w:val="00150066"/>
    <w:rsid w:val="00151130"/>
    <w:rsid w:val="001521C0"/>
    <w:rsid w:val="0015273D"/>
    <w:rsid w:val="001531AE"/>
    <w:rsid w:val="0015332A"/>
    <w:rsid w:val="00153A36"/>
    <w:rsid w:val="00153F8E"/>
    <w:rsid w:val="001547E7"/>
    <w:rsid w:val="001567DC"/>
    <w:rsid w:val="0015716A"/>
    <w:rsid w:val="00157466"/>
    <w:rsid w:val="00157782"/>
    <w:rsid w:val="0016069C"/>
    <w:rsid w:val="001624DD"/>
    <w:rsid w:val="0016302C"/>
    <w:rsid w:val="001631AD"/>
    <w:rsid w:val="00163216"/>
    <w:rsid w:val="00164E58"/>
    <w:rsid w:val="00164FC1"/>
    <w:rsid w:val="00165005"/>
    <w:rsid w:val="00165731"/>
    <w:rsid w:val="00166A29"/>
    <w:rsid w:val="00166DBC"/>
    <w:rsid w:val="00166EA6"/>
    <w:rsid w:val="0016743A"/>
    <w:rsid w:val="001675E2"/>
    <w:rsid w:val="001676B3"/>
    <w:rsid w:val="001728D3"/>
    <w:rsid w:val="00172E4D"/>
    <w:rsid w:val="00172F34"/>
    <w:rsid w:val="00173C06"/>
    <w:rsid w:val="0017485F"/>
    <w:rsid w:val="00174A0E"/>
    <w:rsid w:val="00175A04"/>
    <w:rsid w:val="001772A7"/>
    <w:rsid w:val="001772B8"/>
    <w:rsid w:val="0017789F"/>
    <w:rsid w:val="00177C2F"/>
    <w:rsid w:val="0018043B"/>
    <w:rsid w:val="00180886"/>
    <w:rsid w:val="00180F23"/>
    <w:rsid w:val="00183B7B"/>
    <w:rsid w:val="00183C4A"/>
    <w:rsid w:val="001847C5"/>
    <w:rsid w:val="001849C2"/>
    <w:rsid w:val="001856C4"/>
    <w:rsid w:val="00186115"/>
    <w:rsid w:val="0018711D"/>
    <w:rsid w:val="00190A85"/>
    <w:rsid w:val="001913A0"/>
    <w:rsid w:val="00191570"/>
    <w:rsid w:val="00193957"/>
    <w:rsid w:val="00193C6F"/>
    <w:rsid w:val="001949C7"/>
    <w:rsid w:val="00195240"/>
    <w:rsid w:val="00195712"/>
    <w:rsid w:val="00195C92"/>
    <w:rsid w:val="001960AC"/>
    <w:rsid w:val="0019624A"/>
    <w:rsid w:val="0019652D"/>
    <w:rsid w:val="00196753"/>
    <w:rsid w:val="001968C3"/>
    <w:rsid w:val="001968E3"/>
    <w:rsid w:val="00196A33"/>
    <w:rsid w:val="00196E73"/>
    <w:rsid w:val="00196EC9"/>
    <w:rsid w:val="001976CD"/>
    <w:rsid w:val="00197708"/>
    <w:rsid w:val="001978C4"/>
    <w:rsid w:val="001A023D"/>
    <w:rsid w:val="001A0702"/>
    <w:rsid w:val="001A0CF7"/>
    <w:rsid w:val="001A0EBA"/>
    <w:rsid w:val="001A2353"/>
    <w:rsid w:val="001A3156"/>
    <w:rsid w:val="001A3599"/>
    <w:rsid w:val="001A3809"/>
    <w:rsid w:val="001A3B68"/>
    <w:rsid w:val="001A40C9"/>
    <w:rsid w:val="001A49C9"/>
    <w:rsid w:val="001A51F1"/>
    <w:rsid w:val="001A5264"/>
    <w:rsid w:val="001A6AA9"/>
    <w:rsid w:val="001A6F5C"/>
    <w:rsid w:val="001A704A"/>
    <w:rsid w:val="001A7D15"/>
    <w:rsid w:val="001B02BE"/>
    <w:rsid w:val="001B0A20"/>
    <w:rsid w:val="001B0DB7"/>
    <w:rsid w:val="001B0F47"/>
    <w:rsid w:val="001B176E"/>
    <w:rsid w:val="001B263D"/>
    <w:rsid w:val="001B3530"/>
    <w:rsid w:val="001B5B06"/>
    <w:rsid w:val="001B658B"/>
    <w:rsid w:val="001B6BE5"/>
    <w:rsid w:val="001B6C0E"/>
    <w:rsid w:val="001B6DE6"/>
    <w:rsid w:val="001B75D5"/>
    <w:rsid w:val="001B7DF7"/>
    <w:rsid w:val="001C00CC"/>
    <w:rsid w:val="001C017C"/>
    <w:rsid w:val="001C0477"/>
    <w:rsid w:val="001C2912"/>
    <w:rsid w:val="001C4272"/>
    <w:rsid w:val="001C46AF"/>
    <w:rsid w:val="001C67CC"/>
    <w:rsid w:val="001C6F7A"/>
    <w:rsid w:val="001C7859"/>
    <w:rsid w:val="001C7EAD"/>
    <w:rsid w:val="001D1D2D"/>
    <w:rsid w:val="001D2E0D"/>
    <w:rsid w:val="001D2F7F"/>
    <w:rsid w:val="001D4332"/>
    <w:rsid w:val="001D49F6"/>
    <w:rsid w:val="001D4F20"/>
    <w:rsid w:val="001D4FFD"/>
    <w:rsid w:val="001D5207"/>
    <w:rsid w:val="001D5F5D"/>
    <w:rsid w:val="001D607C"/>
    <w:rsid w:val="001D68CA"/>
    <w:rsid w:val="001D70FD"/>
    <w:rsid w:val="001E07AE"/>
    <w:rsid w:val="001E0827"/>
    <w:rsid w:val="001E08C3"/>
    <w:rsid w:val="001E1FD4"/>
    <w:rsid w:val="001E2126"/>
    <w:rsid w:val="001E219B"/>
    <w:rsid w:val="001E23E8"/>
    <w:rsid w:val="001E2A5B"/>
    <w:rsid w:val="001E334C"/>
    <w:rsid w:val="001E4102"/>
    <w:rsid w:val="001E44B0"/>
    <w:rsid w:val="001E54BB"/>
    <w:rsid w:val="001E5D0C"/>
    <w:rsid w:val="001E6289"/>
    <w:rsid w:val="001E7A85"/>
    <w:rsid w:val="001F010D"/>
    <w:rsid w:val="001F032F"/>
    <w:rsid w:val="001F124B"/>
    <w:rsid w:val="001F2DF3"/>
    <w:rsid w:val="001F2ED3"/>
    <w:rsid w:val="001F300D"/>
    <w:rsid w:val="001F420A"/>
    <w:rsid w:val="001F51D7"/>
    <w:rsid w:val="001F5931"/>
    <w:rsid w:val="001F5C8A"/>
    <w:rsid w:val="001F5D21"/>
    <w:rsid w:val="001F5DB4"/>
    <w:rsid w:val="001F671A"/>
    <w:rsid w:val="001F69A3"/>
    <w:rsid w:val="001F6E9C"/>
    <w:rsid w:val="001F79F4"/>
    <w:rsid w:val="001F7CA2"/>
    <w:rsid w:val="00200D24"/>
    <w:rsid w:val="002015C2"/>
    <w:rsid w:val="00202284"/>
    <w:rsid w:val="00202296"/>
    <w:rsid w:val="00203152"/>
    <w:rsid w:val="00210A59"/>
    <w:rsid w:val="0021183D"/>
    <w:rsid w:val="0021187D"/>
    <w:rsid w:val="002128E4"/>
    <w:rsid w:val="00212DC6"/>
    <w:rsid w:val="002130CD"/>
    <w:rsid w:val="00214DD7"/>
    <w:rsid w:val="00215990"/>
    <w:rsid w:val="0021644E"/>
    <w:rsid w:val="00216542"/>
    <w:rsid w:val="002166DF"/>
    <w:rsid w:val="0021673A"/>
    <w:rsid w:val="00216B84"/>
    <w:rsid w:val="00216D75"/>
    <w:rsid w:val="0021735E"/>
    <w:rsid w:val="00217F42"/>
    <w:rsid w:val="00220416"/>
    <w:rsid w:val="002222DF"/>
    <w:rsid w:val="0022259E"/>
    <w:rsid w:val="002225EB"/>
    <w:rsid w:val="00223391"/>
    <w:rsid w:val="00224214"/>
    <w:rsid w:val="00224679"/>
    <w:rsid w:val="0022481A"/>
    <w:rsid w:val="002258EA"/>
    <w:rsid w:val="00226F20"/>
    <w:rsid w:val="00227AEC"/>
    <w:rsid w:val="00227BC1"/>
    <w:rsid w:val="00227E27"/>
    <w:rsid w:val="00230E9C"/>
    <w:rsid w:val="00231206"/>
    <w:rsid w:val="00233D53"/>
    <w:rsid w:val="002341E1"/>
    <w:rsid w:val="002346BA"/>
    <w:rsid w:val="00234751"/>
    <w:rsid w:val="00234863"/>
    <w:rsid w:val="00234AFB"/>
    <w:rsid w:val="00235237"/>
    <w:rsid w:val="00235BCD"/>
    <w:rsid w:val="0023630A"/>
    <w:rsid w:val="00236E10"/>
    <w:rsid w:val="00240452"/>
    <w:rsid w:val="00240453"/>
    <w:rsid w:val="00240638"/>
    <w:rsid w:val="0024096C"/>
    <w:rsid w:val="0024135E"/>
    <w:rsid w:val="00241854"/>
    <w:rsid w:val="00241BC7"/>
    <w:rsid w:val="00242709"/>
    <w:rsid w:val="00242DBF"/>
    <w:rsid w:val="00243067"/>
    <w:rsid w:val="00243ECF"/>
    <w:rsid w:val="00244450"/>
    <w:rsid w:val="0024448B"/>
    <w:rsid w:val="00245347"/>
    <w:rsid w:val="0024583A"/>
    <w:rsid w:val="00245FA3"/>
    <w:rsid w:val="0024744C"/>
    <w:rsid w:val="00251A08"/>
    <w:rsid w:val="00251C1A"/>
    <w:rsid w:val="00251FED"/>
    <w:rsid w:val="00252235"/>
    <w:rsid w:val="00252E76"/>
    <w:rsid w:val="0025325D"/>
    <w:rsid w:val="0025352A"/>
    <w:rsid w:val="00253BAA"/>
    <w:rsid w:val="00254A4F"/>
    <w:rsid w:val="00254AE6"/>
    <w:rsid w:val="00254D94"/>
    <w:rsid w:val="002550D6"/>
    <w:rsid w:val="00255643"/>
    <w:rsid w:val="00255EFE"/>
    <w:rsid w:val="00255F22"/>
    <w:rsid w:val="002561F4"/>
    <w:rsid w:val="0025682D"/>
    <w:rsid w:val="00260238"/>
    <w:rsid w:val="00260254"/>
    <w:rsid w:val="00260435"/>
    <w:rsid w:val="002604C3"/>
    <w:rsid w:val="002605C3"/>
    <w:rsid w:val="00260AFE"/>
    <w:rsid w:val="0026111E"/>
    <w:rsid w:val="00262DC5"/>
    <w:rsid w:val="0026305C"/>
    <w:rsid w:val="0026309D"/>
    <w:rsid w:val="002636B4"/>
    <w:rsid w:val="002647C9"/>
    <w:rsid w:val="002656B4"/>
    <w:rsid w:val="002657F9"/>
    <w:rsid w:val="00266671"/>
    <w:rsid w:val="00266A0C"/>
    <w:rsid w:val="00266DB2"/>
    <w:rsid w:val="00267827"/>
    <w:rsid w:val="00267BB3"/>
    <w:rsid w:val="00267D3B"/>
    <w:rsid w:val="00267FC5"/>
    <w:rsid w:val="00270805"/>
    <w:rsid w:val="00270CCE"/>
    <w:rsid w:val="00271AA5"/>
    <w:rsid w:val="00272BDA"/>
    <w:rsid w:val="0027307E"/>
    <w:rsid w:val="0027313E"/>
    <w:rsid w:val="0027344A"/>
    <w:rsid w:val="002747EE"/>
    <w:rsid w:val="00275690"/>
    <w:rsid w:val="00275FDF"/>
    <w:rsid w:val="00276AAE"/>
    <w:rsid w:val="00276B25"/>
    <w:rsid w:val="00276CC4"/>
    <w:rsid w:val="0027717C"/>
    <w:rsid w:val="00277F93"/>
    <w:rsid w:val="002807F1"/>
    <w:rsid w:val="002810A3"/>
    <w:rsid w:val="00281702"/>
    <w:rsid w:val="00281CFA"/>
    <w:rsid w:val="00282092"/>
    <w:rsid w:val="0028367C"/>
    <w:rsid w:val="002837FE"/>
    <w:rsid w:val="00283888"/>
    <w:rsid w:val="00284E5C"/>
    <w:rsid w:val="002854CB"/>
    <w:rsid w:val="00285589"/>
    <w:rsid w:val="00286734"/>
    <w:rsid w:val="0028692E"/>
    <w:rsid w:val="002869F3"/>
    <w:rsid w:val="00287606"/>
    <w:rsid w:val="00287AF1"/>
    <w:rsid w:val="00290046"/>
    <w:rsid w:val="0029012F"/>
    <w:rsid w:val="00290CE5"/>
    <w:rsid w:val="00292ACE"/>
    <w:rsid w:val="00292AF9"/>
    <w:rsid w:val="002930BE"/>
    <w:rsid w:val="00294327"/>
    <w:rsid w:val="002950F0"/>
    <w:rsid w:val="0029571D"/>
    <w:rsid w:val="002958BD"/>
    <w:rsid w:val="00295AFE"/>
    <w:rsid w:val="00295C4D"/>
    <w:rsid w:val="00295E8F"/>
    <w:rsid w:val="002961F9"/>
    <w:rsid w:val="00296358"/>
    <w:rsid w:val="0029706D"/>
    <w:rsid w:val="00297CE6"/>
    <w:rsid w:val="00297CF1"/>
    <w:rsid w:val="002A0DEE"/>
    <w:rsid w:val="002A1040"/>
    <w:rsid w:val="002A10C1"/>
    <w:rsid w:val="002A12D7"/>
    <w:rsid w:val="002A1FED"/>
    <w:rsid w:val="002A3063"/>
    <w:rsid w:val="002A3229"/>
    <w:rsid w:val="002A3733"/>
    <w:rsid w:val="002A37A4"/>
    <w:rsid w:val="002A398A"/>
    <w:rsid w:val="002A46D7"/>
    <w:rsid w:val="002A4B17"/>
    <w:rsid w:val="002A4B87"/>
    <w:rsid w:val="002A4EB6"/>
    <w:rsid w:val="002A4EE1"/>
    <w:rsid w:val="002A51A4"/>
    <w:rsid w:val="002A5383"/>
    <w:rsid w:val="002A57CB"/>
    <w:rsid w:val="002A6B81"/>
    <w:rsid w:val="002A7114"/>
    <w:rsid w:val="002A7929"/>
    <w:rsid w:val="002B071C"/>
    <w:rsid w:val="002B2349"/>
    <w:rsid w:val="002B28B8"/>
    <w:rsid w:val="002B28C0"/>
    <w:rsid w:val="002B2937"/>
    <w:rsid w:val="002B2C78"/>
    <w:rsid w:val="002B4205"/>
    <w:rsid w:val="002B4BC1"/>
    <w:rsid w:val="002B5C11"/>
    <w:rsid w:val="002B600C"/>
    <w:rsid w:val="002B65A9"/>
    <w:rsid w:val="002B715E"/>
    <w:rsid w:val="002B74C5"/>
    <w:rsid w:val="002B7587"/>
    <w:rsid w:val="002B759C"/>
    <w:rsid w:val="002C13FF"/>
    <w:rsid w:val="002C1520"/>
    <w:rsid w:val="002C1E4C"/>
    <w:rsid w:val="002C1FE5"/>
    <w:rsid w:val="002C30E4"/>
    <w:rsid w:val="002C3334"/>
    <w:rsid w:val="002C3E26"/>
    <w:rsid w:val="002C67D6"/>
    <w:rsid w:val="002C6DFD"/>
    <w:rsid w:val="002C6E05"/>
    <w:rsid w:val="002C722A"/>
    <w:rsid w:val="002C72B1"/>
    <w:rsid w:val="002C7445"/>
    <w:rsid w:val="002D0292"/>
    <w:rsid w:val="002D0C6D"/>
    <w:rsid w:val="002D0F1E"/>
    <w:rsid w:val="002D1324"/>
    <w:rsid w:val="002D225C"/>
    <w:rsid w:val="002D28F8"/>
    <w:rsid w:val="002D295E"/>
    <w:rsid w:val="002D4213"/>
    <w:rsid w:val="002D428C"/>
    <w:rsid w:val="002D431D"/>
    <w:rsid w:val="002D43FE"/>
    <w:rsid w:val="002D443C"/>
    <w:rsid w:val="002D56C4"/>
    <w:rsid w:val="002D576E"/>
    <w:rsid w:val="002D623E"/>
    <w:rsid w:val="002D66D5"/>
    <w:rsid w:val="002D6A27"/>
    <w:rsid w:val="002D6F33"/>
    <w:rsid w:val="002D7E42"/>
    <w:rsid w:val="002E044B"/>
    <w:rsid w:val="002E09A2"/>
    <w:rsid w:val="002E1658"/>
    <w:rsid w:val="002E16CB"/>
    <w:rsid w:val="002E180A"/>
    <w:rsid w:val="002E224F"/>
    <w:rsid w:val="002E2809"/>
    <w:rsid w:val="002E316E"/>
    <w:rsid w:val="002E3227"/>
    <w:rsid w:val="002E3BF1"/>
    <w:rsid w:val="002E425F"/>
    <w:rsid w:val="002E4E2A"/>
    <w:rsid w:val="002E66A1"/>
    <w:rsid w:val="002F0FDA"/>
    <w:rsid w:val="002F1F55"/>
    <w:rsid w:val="002F249A"/>
    <w:rsid w:val="002F2572"/>
    <w:rsid w:val="002F28AB"/>
    <w:rsid w:val="002F340E"/>
    <w:rsid w:val="002F3720"/>
    <w:rsid w:val="002F3A42"/>
    <w:rsid w:val="002F3D15"/>
    <w:rsid w:val="002F4549"/>
    <w:rsid w:val="002F5273"/>
    <w:rsid w:val="002F547D"/>
    <w:rsid w:val="002F5F9E"/>
    <w:rsid w:val="002F6706"/>
    <w:rsid w:val="002F6BB6"/>
    <w:rsid w:val="002F7E01"/>
    <w:rsid w:val="002F7E0C"/>
    <w:rsid w:val="003000EB"/>
    <w:rsid w:val="0030074B"/>
    <w:rsid w:val="00300EFA"/>
    <w:rsid w:val="00302A41"/>
    <w:rsid w:val="003031AB"/>
    <w:rsid w:val="00303426"/>
    <w:rsid w:val="00303FF6"/>
    <w:rsid w:val="003044D8"/>
    <w:rsid w:val="003047EE"/>
    <w:rsid w:val="003047FE"/>
    <w:rsid w:val="00304BAA"/>
    <w:rsid w:val="00305C5B"/>
    <w:rsid w:val="0030659C"/>
    <w:rsid w:val="003066C4"/>
    <w:rsid w:val="00306CED"/>
    <w:rsid w:val="00306E64"/>
    <w:rsid w:val="003071B0"/>
    <w:rsid w:val="0031036D"/>
    <w:rsid w:val="00310FAE"/>
    <w:rsid w:val="00311822"/>
    <w:rsid w:val="00311EC3"/>
    <w:rsid w:val="00312A9D"/>
    <w:rsid w:val="00313E26"/>
    <w:rsid w:val="00314342"/>
    <w:rsid w:val="0031626A"/>
    <w:rsid w:val="00316CA4"/>
    <w:rsid w:val="003212B3"/>
    <w:rsid w:val="00322D73"/>
    <w:rsid w:val="0032403D"/>
    <w:rsid w:val="0032477C"/>
    <w:rsid w:val="003255C2"/>
    <w:rsid w:val="0032615A"/>
    <w:rsid w:val="00326772"/>
    <w:rsid w:val="003273B8"/>
    <w:rsid w:val="003277A6"/>
    <w:rsid w:val="00327AF3"/>
    <w:rsid w:val="0033014C"/>
    <w:rsid w:val="00330547"/>
    <w:rsid w:val="003307EB"/>
    <w:rsid w:val="00330A04"/>
    <w:rsid w:val="00330A40"/>
    <w:rsid w:val="00331054"/>
    <w:rsid w:val="00331274"/>
    <w:rsid w:val="003314DA"/>
    <w:rsid w:val="0033206B"/>
    <w:rsid w:val="00332B19"/>
    <w:rsid w:val="003338C0"/>
    <w:rsid w:val="00333C12"/>
    <w:rsid w:val="00333CD0"/>
    <w:rsid w:val="003341A9"/>
    <w:rsid w:val="003343EE"/>
    <w:rsid w:val="00334E84"/>
    <w:rsid w:val="0033514E"/>
    <w:rsid w:val="00335C05"/>
    <w:rsid w:val="003363FE"/>
    <w:rsid w:val="00336480"/>
    <w:rsid w:val="003366F4"/>
    <w:rsid w:val="00336BE6"/>
    <w:rsid w:val="0033748F"/>
    <w:rsid w:val="003401D8"/>
    <w:rsid w:val="003402FB"/>
    <w:rsid w:val="00340F15"/>
    <w:rsid w:val="00340F63"/>
    <w:rsid w:val="0034108E"/>
    <w:rsid w:val="00341CE0"/>
    <w:rsid w:val="00341EAB"/>
    <w:rsid w:val="003429B3"/>
    <w:rsid w:val="0034368C"/>
    <w:rsid w:val="00343834"/>
    <w:rsid w:val="00343CC5"/>
    <w:rsid w:val="0034417E"/>
    <w:rsid w:val="00344CF8"/>
    <w:rsid w:val="0034581F"/>
    <w:rsid w:val="00345A8F"/>
    <w:rsid w:val="00346487"/>
    <w:rsid w:val="003467B0"/>
    <w:rsid w:val="003472D3"/>
    <w:rsid w:val="003474F8"/>
    <w:rsid w:val="00347DFE"/>
    <w:rsid w:val="00351AF6"/>
    <w:rsid w:val="003528D8"/>
    <w:rsid w:val="003529C8"/>
    <w:rsid w:val="00353559"/>
    <w:rsid w:val="0035373C"/>
    <w:rsid w:val="003545AB"/>
    <w:rsid w:val="00355278"/>
    <w:rsid w:val="00355E66"/>
    <w:rsid w:val="00356150"/>
    <w:rsid w:val="0035628B"/>
    <w:rsid w:val="00356658"/>
    <w:rsid w:val="00357906"/>
    <w:rsid w:val="00360C58"/>
    <w:rsid w:val="0036192C"/>
    <w:rsid w:val="00362676"/>
    <w:rsid w:val="00363095"/>
    <w:rsid w:val="003636DB"/>
    <w:rsid w:val="0036488D"/>
    <w:rsid w:val="00365164"/>
    <w:rsid w:val="00365964"/>
    <w:rsid w:val="00365B9E"/>
    <w:rsid w:val="0036603E"/>
    <w:rsid w:val="0036618D"/>
    <w:rsid w:val="00366CD7"/>
    <w:rsid w:val="003704DE"/>
    <w:rsid w:val="00370958"/>
    <w:rsid w:val="00370B7D"/>
    <w:rsid w:val="00370E91"/>
    <w:rsid w:val="00371788"/>
    <w:rsid w:val="00371AF6"/>
    <w:rsid w:val="00371DB9"/>
    <w:rsid w:val="003723FC"/>
    <w:rsid w:val="00372872"/>
    <w:rsid w:val="00372933"/>
    <w:rsid w:val="00372A88"/>
    <w:rsid w:val="00373311"/>
    <w:rsid w:val="00373B37"/>
    <w:rsid w:val="00373D0B"/>
    <w:rsid w:val="00375900"/>
    <w:rsid w:val="00375CB1"/>
    <w:rsid w:val="00376B91"/>
    <w:rsid w:val="00376C84"/>
    <w:rsid w:val="0038000B"/>
    <w:rsid w:val="00381125"/>
    <w:rsid w:val="00381647"/>
    <w:rsid w:val="00381AA1"/>
    <w:rsid w:val="003823AD"/>
    <w:rsid w:val="00382EEF"/>
    <w:rsid w:val="00383438"/>
    <w:rsid w:val="003834BB"/>
    <w:rsid w:val="003835BE"/>
    <w:rsid w:val="00383879"/>
    <w:rsid w:val="00384844"/>
    <w:rsid w:val="00385CB3"/>
    <w:rsid w:val="00385EE2"/>
    <w:rsid w:val="00386F67"/>
    <w:rsid w:val="00387194"/>
    <w:rsid w:val="00387586"/>
    <w:rsid w:val="00387D13"/>
    <w:rsid w:val="003910D9"/>
    <w:rsid w:val="0039206B"/>
    <w:rsid w:val="003926F4"/>
    <w:rsid w:val="00393294"/>
    <w:rsid w:val="003948D2"/>
    <w:rsid w:val="00394AA8"/>
    <w:rsid w:val="00394F05"/>
    <w:rsid w:val="00395152"/>
    <w:rsid w:val="003965DA"/>
    <w:rsid w:val="00397A24"/>
    <w:rsid w:val="00397B86"/>
    <w:rsid w:val="00397D84"/>
    <w:rsid w:val="00397DC4"/>
    <w:rsid w:val="003A038C"/>
    <w:rsid w:val="003A0CED"/>
    <w:rsid w:val="003A127C"/>
    <w:rsid w:val="003A2432"/>
    <w:rsid w:val="003A253D"/>
    <w:rsid w:val="003A2F3D"/>
    <w:rsid w:val="003A3E33"/>
    <w:rsid w:val="003A757F"/>
    <w:rsid w:val="003A77F8"/>
    <w:rsid w:val="003B0163"/>
    <w:rsid w:val="003B017B"/>
    <w:rsid w:val="003B0EDB"/>
    <w:rsid w:val="003B1068"/>
    <w:rsid w:val="003B137D"/>
    <w:rsid w:val="003B18D6"/>
    <w:rsid w:val="003B1D7A"/>
    <w:rsid w:val="003B2486"/>
    <w:rsid w:val="003B2FAD"/>
    <w:rsid w:val="003B33DC"/>
    <w:rsid w:val="003B3535"/>
    <w:rsid w:val="003B395B"/>
    <w:rsid w:val="003B4109"/>
    <w:rsid w:val="003B4BD9"/>
    <w:rsid w:val="003B60F2"/>
    <w:rsid w:val="003B6507"/>
    <w:rsid w:val="003B79F8"/>
    <w:rsid w:val="003C029E"/>
    <w:rsid w:val="003C1B2D"/>
    <w:rsid w:val="003C25A9"/>
    <w:rsid w:val="003C2B3F"/>
    <w:rsid w:val="003C2B4A"/>
    <w:rsid w:val="003C380F"/>
    <w:rsid w:val="003C3966"/>
    <w:rsid w:val="003C4295"/>
    <w:rsid w:val="003C429E"/>
    <w:rsid w:val="003C4868"/>
    <w:rsid w:val="003C57C2"/>
    <w:rsid w:val="003C6447"/>
    <w:rsid w:val="003D0167"/>
    <w:rsid w:val="003D0273"/>
    <w:rsid w:val="003D11B7"/>
    <w:rsid w:val="003D2BA8"/>
    <w:rsid w:val="003D2C82"/>
    <w:rsid w:val="003D2CAE"/>
    <w:rsid w:val="003D316B"/>
    <w:rsid w:val="003D3AF4"/>
    <w:rsid w:val="003D4ECA"/>
    <w:rsid w:val="003D56CE"/>
    <w:rsid w:val="003D5759"/>
    <w:rsid w:val="003D5C71"/>
    <w:rsid w:val="003D6D73"/>
    <w:rsid w:val="003D7352"/>
    <w:rsid w:val="003D75B1"/>
    <w:rsid w:val="003D75D2"/>
    <w:rsid w:val="003D7885"/>
    <w:rsid w:val="003D7A4F"/>
    <w:rsid w:val="003D7C3F"/>
    <w:rsid w:val="003E00C2"/>
    <w:rsid w:val="003E0720"/>
    <w:rsid w:val="003E07FE"/>
    <w:rsid w:val="003E1202"/>
    <w:rsid w:val="003E1575"/>
    <w:rsid w:val="003E1A1C"/>
    <w:rsid w:val="003E1FDE"/>
    <w:rsid w:val="003E2B04"/>
    <w:rsid w:val="003E2B6E"/>
    <w:rsid w:val="003E44DE"/>
    <w:rsid w:val="003E47A8"/>
    <w:rsid w:val="003E55CA"/>
    <w:rsid w:val="003E5AC7"/>
    <w:rsid w:val="003E7470"/>
    <w:rsid w:val="003E7CE1"/>
    <w:rsid w:val="003E7E8A"/>
    <w:rsid w:val="003F06CF"/>
    <w:rsid w:val="003F1931"/>
    <w:rsid w:val="003F2077"/>
    <w:rsid w:val="003F2945"/>
    <w:rsid w:val="003F3F6B"/>
    <w:rsid w:val="003F4B43"/>
    <w:rsid w:val="003F5448"/>
    <w:rsid w:val="003F5BDA"/>
    <w:rsid w:val="003F5F56"/>
    <w:rsid w:val="003F7DDC"/>
    <w:rsid w:val="0040065B"/>
    <w:rsid w:val="004006D8"/>
    <w:rsid w:val="00400BB8"/>
    <w:rsid w:val="00400DD1"/>
    <w:rsid w:val="0040129A"/>
    <w:rsid w:val="004015AC"/>
    <w:rsid w:val="0040253A"/>
    <w:rsid w:val="004025AC"/>
    <w:rsid w:val="00403470"/>
    <w:rsid w:val="0040352E"/>
    <w:rsid w:val="00403C46"/>
    <w:rsid w:val="00404F98"/>
    <w:rsid w:val="004053AF"/>
    <w:rsid w:val="00406605"/>
    <w:rsid w:val="00406BCC"/>
    <w:rsid w:val="0040759C"/>
    <w:rsid w:val="004075EF"/>
    <w:rsid w:val="00410A29"/>
    <w:rsid w:val="00411035"/>
    <w:rsid w:val="0041129D"/>
    <w:rsid w:val="00411375"/>
    <w:rsid w:val="00411464"/>
    <w:rsid w:val="004127E0"/>
    <w:rsid w:val="00412C7C"/>
    <w:rsid w:val="0041320F"/>
    <w:rsid w:val="0041345A"/>
    <w:rsid w:val="00414416"/>
    <w:rsid w:val="0041456C"/>
    <w:rsid w:val="00414780"/>
    <w:rsid w:val="00414939"/>
    <w:rsid w:val="00414CD0"/>
    <w:rsid w:val="00415704"/>
    <w:rsid w:val="00415A8A"/>
    <w:rsid w:val="004160CE"/>
    <w:rsid w:val="00416392"/>
    <w:rsid w:val="00416BA5"/>
    <w:rsid w:val="00416F9B"/>
    <w:rsid w:val="0041700D"/>
    <w:rsid w:val="00417679"/>
    <w:rsid w:val="0041772C"/>
    <w:rsid w:val="0041785A"/>
    <w:rsid w:val="00417E4F"/>
    <w:rsid w:val="00417F17"/>
    <w:rsid w:val="00417FDB"/>
    <w:rsid w:val="00420653"/>
    <w:rsid w:val="00420AFE"/>
    <w:rsid w:val="00421244"/>
    <w:rsid w:val="00421A36"/>
    <w:rsid w:val="00421BBC"/>
    <w:rsid w:val="00421DCE"/>
    <w:rsid w:val="00422B2A"/>
    <w:rsid w:val="00422FFA"/>
    <w:rsid w:val="00423077"/>
    <w:rsid w:val="00423AB8"/>
    <w:rsid w:val="00424F0D"/>
    <w:rsid w:val="00425030"/>
    <w:rsid w:val="00425A9C"/>
    <w:rsid w:val="00427897"/>
    <w:rsid w:val="004306D8"/>
    <w:rsid w:val="004309E4"/>
    <w:rsid w:val="004330A1"/>
    <w:rsid w:val="0043377C"/>
    <w:rsid w:val="00433B23"/>
    <w:rsid w:val="00434374"/>
    <w:rsid w:val="004345D9"/>
    <w:rsid w:val="0043577C"/>
    <w:rsid w:val="004358D2"/>
    <w:rsid w:val="00435A14"/>
    <w:rsid w:val="00435B81"/>
    <w:rsid w:val="00435DA0"/>
    <w:rsid w:val="0043616F"/>
    <w:rsid w:val="004362E3"/>
    <w:rsid w:val="00437654"/>
    <w:rsid w:val="0044037A"/>
    <w:rsid w:val="004403B9"/>
    <w:rsid w:val="00440871"/>
    <w:rsid w:val="00440E52"/>
    <w:rsid w:val="004419C6"/>
    <w:rsid w:val="00441A0B"/>
    <w:rsid w:val="0044322B"/>
    <w:rsid w:val="00443DF5"/>
    <w:rsid w:val="004446D7"/>
    <w:rsid w:val="00444733"/>
    <w:rsid w:val="0044498C"/>
    <w:rsid w:val="00444BD5"/>
    <w:rsid w:val="00445379"/>
    <w:rsid w:val="00445AE9"/>
    <w:rsid w:val="00446A74"/>
    <w:rsid w:val="00447E14"/>
    <w:rsid w:val="00450A2C"/>
    <w:rsid w:val="00451E1A"/>
    <w:rsid w:val="00452586"/>
    <w:rsid w:val="00453728"/>
    <w:rsid w:val="00453800"/>
    <w:rsid w:val="00453D28"/>
    <w:rsid w:val="00454456"/>
    <w:rsid w:val="0045491A"/>
    <w:rsid w:val="00454F2E"/>
    <w:rsid w:val="00455216"/>
    <w:rsid w:val="004554E5"/>
    <w:rsid w:val="00455EDF"/>
    <w:rsid w:val="004579A6"/>
    <w:rsid w:val="00457A55"/>
    <w:rsid w:val="00460306"/>
    <w:rsid w:val="00460C1D"/>
    <w:rsid w:val="00460EDE"/>
    <w:rsid w:val="00460F70"/>
    <w:rsid w:val="004618CA"/>
    <w:rsid w:val="0046383E"/>
    <w:rsid w:val="00463B86"/>
    <w:rsid w:val="00463CA6"/>
    <w:rsid w:val="00464653"/>
    <w:rsid w:val="0046475D"/>
    <w:rsid w:val="00464D2F"/>
    <w:rsid w:val="004650EC"/>
    <w:rsid w:val="00465FBC"/>
    <w:rsid w:val="00466985"/>
    <w:rsid w:val="00466FDF"/>
    <w:rsid w:val="00470316"/>
    <w:rsid w:val="00470A70"/>
    <w:rsid w:val="004717BF"/>
    <w:rsid w:val="00471A4E"/>
    <w:rsid w:val="00472165"/>
    <w:rsid w:val="004723DF"/>
    <w:rsid w:val="00472F4C"/>
    <w:rsid w:val="00472FB6"/>
    <w:rsid w:val="00473320"/>
    <w:rsid w:val="004733F5"/>
    <w:rsid w:val="0047396A"/>
    <w:rsid w:val="00474CA4"/>
    <w:rsid w:val="004757C7"/>
    <w:rsid w:val="00475A23"/>
    <w:rsid w:val="00476FC3"/>
    <w:rsid w:val="0047769E"/>
    <w:rsid w:val="00477AFA"/>
    <w:rsid w:val="004806FB"/>
    <w:rsid w:val="00480DC3"/>
    <w:rsid w:val="00480E3D"/>
    <w:rsid w:val="004828A9"/>
    <w:rsid w:val="004829B8"/>
    <w:rsid w:val="004833AC"/>
    <w:rsid w:val="00483A09"/>
    <w:rsid w:val="004840A2"/>
    <w:rsid w:val="004842FB"/>
    <w:rsid w:val="00484918"/>
    <w:rsid w:val="00484EF2"/>
    <w:rsid w:val="0048507C"/>
    <w:rsid w:val="004853CC"/>
    <w:rsid w:val="00485617"/>
    <w:rsid w:val="004861F4"/>
    <w:rsid w:val="00486358"/>
    <w:rsid w:val="00486A48"/>
    <w:rsid w:val="00486CB0"/>
    <w:rsid w:val="00486DD4"/>
    <w:rsid w:val="00487039"/>
    <w:rsid w:val="004921FE"/>
    <w:rsid w:val="004925E4"/>
    <w:rsid w:val="0049276C"/>
    <w:rsid w:val="00493188"/>
    <w:rsid w:val="0049348C"/>
    <w:rsid w:val="00494239"/>
    <w:rsid w:val="00494B1F"/>
    <w:rsid w:val="00494D3C"/>
    <w:rsid w:val="00495569"/>
    <w:rsid w:val="00496593"/>
    <w:rsid w:val="00496618"/>
    <w:rsid w:val="00497A8B"/>
    <w:rsid w:val="004A0628"/>
    <w:rsid w:val="004A1A48"/>
    <w:rsid w:val="004A1B8F"/>
    <w:rsid w:val="004A1C8C"/>
    <w:rsid w:val="004A25D1"/>
    <w:rsid w:val="004A2660"/>
    <w:rsid w:val="004A2F9F"/>
    <w:rsid w:val="004A38FA"/>
    <w:rsid w:val="004A3D35"/>
    <w:rsid w:val="004A4512"/>
    <w:rsid w:val="004A6F39"/>
    <w:rsid w:val="004A7263"/>
    <w:rsid w:val="004B003F"/>
    <w:rsid w:val="004B1016"/>
    <w:rsid w:val="004B1680"/>
    <w:rsid w:val="004B23DB"/>
    <w:rsid w:val="004B3252"/>
    <w:rsid w:val="004B3693"/>
    <w:rsid w:val="004B3E10"/>
    <w:rsid w:val="004B3FCC"/>
    <w:rsid w:val="004B4A89"/>
    <w:rsid w:val="004B4BF9"/>
    <w:rsid w:val="004B5249"/>
    <w:rsid w:val="004B57B9"/>
    <w:rsid w:val="004B5D6E"/>
    <w:rsid w:val="004B5F0D"/>
    <w:rsid w:val="004B5F0F"/>
    <w:rsid w:val="004B64C1"/>
    <w:rsid w:val="004B7147"/>
    <w:rsid w:val="004C02B6"/>
    <w:rsid w:val="004C0D24"/>
    <w:rsid w:val="004C17E5"/>
    <w:rsid w:val="004C21CC"/>
    <w:rsid w:val="004C3D78"/>
    <w:rsid w:val="004C4E5A"/>
    <w:rsid w:val="004C6CC3"/>
    <w:rsid w:val="004D042C"/>
    <w:rsid w:val="004D2356"/>
    <w:rsid w:val="004D285C"/>
    <w:rsid w:val="004D29D1"/>
    <w:rsid w:val="004D2EEB"/>
    <w:rsid w:val="004D2FC4"/>
    <w:rsid w:val="004D31AE"/>
    <w:rsid w:val="004D5A0A"/>
    <w:rsid w:val="004D65D3"/>
    <w:rsid w:val="004D665B"/>
    <w:rsid w:val="004D6979"/>
    <w:rsid w:val="004D7249"/>
    <w:rsid w:val="004D77D6"/>
    <w:rsid w:val="004E0DB8"/>
    <w:rsid w:val="004E109E"/>
    <w:rsid w:val="004E3A45"/>
    <w:rsid w:val="004E43C0"/>
    <w:rsid w:val="004E580C"/>
    <w:rsid w:val="004E6BE6"/>
    <w:rsid w:val="004E6FC6"/>
    <w:rsid w:val="004F0278"/>
    <w:rsid w:val="004F0CAD"/>
    <w:rsid w:val="004F0F64"/>
    <w:rsid w:val="004F3859"/>
    <w:rsid w:val="004F3EF8"/>
    <w:rsid w:val="004F40C4"/>
    <w:rsid w:val="004F410E"/>
    <w:rsid w:val="004F4121"/>
    <w:rsid w:val="004F48D3"/>
    <w:rsid w:val="004F5357"/>
    <w:rsid w:val="004F5DA8"/>
    <w:rsid w:val="004F5FCB"/>
    <w:rsid w:val="004F6827"/>
    <w:rsid w:val="004F6C90"/>
    <w:rsid w:val="00500AF6"/>
    <w:rsid w:val="005018C4"/>
    <w:rsid w:val="00503E6A"/>
    <w:rsid w:val="00504946"/>
    <w:rsid w:val="00504FA1"/>
    <w:rsid w:val="00505367"/>
    <w:rsid w:val="00505D71"/>
    <w:rsid w:val="00505E3C"/>
    <w:rsid w:val="005062D8"/>
    <w:rsid w:val="00506A90"/>
    <w:rsid w:val="00507C6C"/>
    <w:rsid w:val="00510CE6"/>
    <w:rsid w:val="00510F58"/>
    <w:rsid w:val="005122D5"/>
    <w:rsid w:val="00512390"/>
    <w:rsid w:val="00512B1C"/>
    <w:rsid w:val="005131F0"/>
    <w:rsid w:val="00513266"/>
    <w:rsid w:val="005142EB"/>
    <w:rsid w:val="0051439E"/>
    <w:rsid w:val="005158B1"/>
    <w:rsid w:val="00515ACF"/>
    <w:rsid w:val="005168EE"/>
    <w:rsid w:val="00516ABE"/>
    <w:rsid w:val="00520C3C"/>
    <w:rsid w:val="00520EA4"/>
    <w:rsid w:val="005213AB"/>
    <w:rsid w:val="00522B68"/>
    <w:rsid w:val="00523C69"/>
    <w:rsid w:val="005243D8"/>
    <w:rsid w:val="005247EE"/>
    <w:rsid w:val="005248BB"/>
    <w:rsid w:val="00524B1B"/>
    <w:rsid w:val="00524D33"/>
    <w:rsid w:val="005258DB"/>
    <w:rsid w:val="00525DC1"/>
    <w:rsid w:val="005263CE"/>
    <w:rsid w:val="0053086D"/>
    <w:rsid w:val="00530DD0"/>
    <w:rsid w:val="00531699"/>
    <w:rsid w:val="00531B0C"/>
    <w:rsid w:val="00531B2A"/>
    <w:rsid w:val="005322BA"/>
    <w:rsid w:val="00532320"/>
    <w:rsid w:val="00533485"/>
    <w:rsid w:val="005337DF"/>
    <w:rsid w:val="0053482D"/>
    <w:rsid w:val="00534A34"/>
    <w:rsid w:val="00535882"/>
    <w:rsid w:val="00535B45"/>
    <w:rsid w:val="00535D25"/>
    <w:rsid w:val="00535D83"/>
    <w:rsid w:val="00536357"/>
    <w:rsid w:val="00536D07"/>
    <w:rsid w:val="0053739C"/>
    <w:rsid w:val="005378D8"/>
    <w:rsid w:val="0054049A"/>
    <w:rsid w:val="00540664"/>
    <w:rsid w:val="00541355"/>
    <w:rsid w:val="00541C38"/>
    <w:rsid w:val="00542310"/>
    <w:rsid w:val="005441F7"/>
    <w:rsid w:val="00544428"/>
    <w:rsid w:val="00544898"/>
    <w:rsid w:val="00545D5E"/>
    <w:rsid w:val="00546014"/>
    <w:rsid w:val="0054748D"/>
    <w:rsid w:val="005479FF"/>
    <w:rsid w:val="00547ACE"/>
    <w:rsid w:val="00547E6F"/>
    <w:rsid w:val="0055021B"/>
    <w:rsid w:val="005503BD"/>
    <w:rsid w:val="00550AC9"/>
    <w:rsid w:val="00550D9A"/>
    <w:rsid w:val="005515D1"/>
    <w:rsid w:val="00551813"/>
    <w:rsid w:val="00552DA4"/>
    <w:rsid w:val="00552E94"/>
    <w:rsid w:val="00552F0D"/>
    <w:rsid w:val="0055348B"/>
    <w:rsid w:val="0055349F"/>
    <w:rsid w:val="005536FB"/>
    <w:rsid w:val="00554885"/>
    <w:rsid w:val="00554E79"/>
    <w:rsid w:val="00554F4E"/>
    <w:rsid w:val="0055546A"/>
    <w:rsid w:val="00555950"/>
    <w:rsid w:val="0055617A"/>
    <w:rsid w:val="00556460"/>
    <w:rsid w:val="005567EE"/>
    <w:rsid w:val="00556B56"/>
    <w:rsid w:val="0055711B"/>
    <w:rsid w:val="00557783"/>
    <w:rsid w:val="00557C6D"/>
    <w:rsid w:val="00561792"/>
    <w:rsid w:val="0056191A"/>
    <w:rsid w:val="00561F13"/>
    <w:rsid w:val="00563D9A"/>
    <w:rsid w:val="00564D92"/>
    <w:rsid w:val="00565D49"/>
    <w:rsid w:val="00565EAE"/>
    <w:rsid w:val="00566C23"/>
    <w:rsid w:val="005707C5"/>
    <w:rsid w:val="00571858"/>
    <w:rsid w:val="005719CD"/>
    <w:rsid w:val="00571B01"/>
    <w:rsid w:val="005725B1"/>
    <w:rsid w:val="00572B82"/>
    <w:rsid w:val="00573049"/>
    <w:rsid w:val="005731BC"/>
    <w:rsid w:val="00573244"/>
    <w:rsid w:val="00573883"/>
    <w:rsid w:val="00573889"/>
    <w:rsid w:val="005738FB"/>
    <w:rsid w:val="00573A6A"/>
    <w:rsid w:val="00573B1C"/>
    <w:rsid w:val="00573C55"/>
    <w:rsid w:val="00574264"/>
    <w:rsid w:val="0057443F"/>
    <w:rsid w:val="00574626"/>
    <w:rsid w:val="00574DFC"/>
    <w:rsid w:val="00574F92"/>
    <w:rsid w:val="00575AE2"/>
    <w:rsid w:val="00575E57"/>
    <w:rsid w:val="00575E87"/>
    <w:rsid w:val="005766FF"/>
    <w:rsid w:val="00577D8C"/>
    <w:rsid w:val="00577F41"/>
    <w:rsid w:val="00580138"/>
    <w:rsid w:val="0058045A"/>
    <w:rsid w:val="005807B2"/>
    <w:rsid w:val="00580D8F"/>
    <w:rsid w:val="00580DC1"/>
    <w:rsid w:val="0058123F"/>
    <w:rsid w:val="00581475"/>
    <w:rsid w:val="005817A7"/>
    <w:rsid w:val="0058196E"/>
    <w:rsid w:val="0058258F"/>
    <w:rsid w:val="00582721"/>
    <w:rsid w:val="00582A25"/>
    <w:rsid w:val="00582EA3"/>
    <w:rsid w:val="00583263"/>
    <w:rsid w:val="00583536"/>
    <w:rsid w:val="00584795"/>
    <w:rsid w:val="0058504E"/>
    <w:rsid w:val="00585E38"/>
    <w:rsid w:val="00585FA1"/>
    <w:rsid w:val="00586C8F"/>
    <w:rsid w:val="0058738E"/>
    <w:rsid w:val="00587CD7"/>
    <w:rsid w:val="00587D19"/>
    <w:rsid w:val="005904F6"/>
    <w:rsid w:val="00590B6B"/>
    <w:rsid w:val="0059232B"/>
    <w:rsid w:val="0059256B"/>
    <w:rsid w:val="00592855"/>
    <w:rsid w:val="005930EA"/>
    <w:rsid w:val="00593547"/>
    <w:rsid w:val="00594057"/>
    <w:rsid w:val="00595166"/>
    <w:rsid w:val="0059560C"/>
    <w:rsid w:val="0059611F"/>
    <w:rsid w:val="00597463"/>
    <w:rsid w:val="00597C68"/>
    <w:rsid w:val="00597F2E"/>
    <w:rsid w:val="00597FEB"/>
    <w:rsid w:val="005A031E"/>
    <w:rsid w:val="005A1E13"/>
    <w:rsid w:val="005A293A"/>
    <w:rsid w:val="005A326E"/>
    <w:rsid w:val="005A328F"/>
    <w:rsid w:val="005A37A1"/>
    <w:rsid w:val="005A3A66"/>
    <w:rsid w:val="005A3B13"/>
    <w:rsid w:val="005A403D"/>
    <w:rsid w:val="005A459E"/>
    <w:rsid w:val="005A4C64"/>
    <w:rsid w:val="005A54D6"/>
    <w:rsid w:val="005A5FE6"/>
    <w:rsid w:val="005A6313"/>
    <w:rsid w:val="005A6405"/>
    <w:rsid w:val="005A6E99"/>
    <w:rsid w:val="005A7420"/>
    <w:rsid w:val="005B0E2C"/>
    <w:rsid w:val="005B251D"/>
    <w:rsid w:val="005B2860"/>
    <w:rsid w:val="005B2E5C"/>
    <w:rsid w:val="005B3465"/>
    <w:rsid w:val="005B387D"/>
    <w:rsid w:val="005B46F8"/>
    <w:rsid w:val="005B4B68"/>
    <w:rsid w:val="005B512B"/>
    <w:rsid w:val="005B5327"/>
    <w:rsid w:val="005B54E0"/>
    <w:rsid w:val="005B5EED"/>
    <w:rsid w:val="005B637D"/>
    <w:rsid w:val="005B7747"/>
    <w:rsid w:val="005C1EEB"/>
    <w:rsid w:val="005C20B3"/>
    <w:rsid w:val="005C27AB"/>
    <w:rsid w:val="005C2C98"/>
    <w:rsid w:val="005C3951"/>
    <w:rsid w:val="005C40D7"/>
    <w:rsid w:val="005C41EC"/>
    <w:rsid w:val="005C53D9"/>
    <w:rsid w:val="005C5D23"/>
    <w:rsid w:val="005C62FD"/>
    <w:rsid w:val="005C6386"/>
    <w:rsid w:val="005C6A2C"/>
    <w:rsid w:val="005C6C0E"/>
    <w:rsid w:val="005D0037"/>
    <w:rsid w:val="005D0675"/>
    <w:rsid w:val="005D071D"/>
    <w:rsid w:val="005D0DBD"/>
    <w:rsid w:val="005D0F78"/>
    <w:rsid w:val="005D1BBD"/>
    <w:rsid w:val="005D21EC"/>
    <w:rsid w:val="005D28E0"/>
    <w:rsid w:val="005D3204"/>
    <w:rsid w:val="005D3C05"/>
    <w:rsid w:val="005D3C2E"/>
    <w:rsid w:val="005D3DB5"/>
    <w:rsid w:val="005D4040"/>
    <w:rsid w:val="005D4984"/>
    <w:rsid w:val="005D49CC"/>
    <w:rsid w:val="005D4ECE"/>
    <w:rsid w:val="005D4F05"/>
    <w:rsid w:val="005D5063"/>
    <w:rsid w:val="005D5650"/>
    <w:rsid w:val="005D5B1A"/>
    <w:rsid w:val="005D5E4C"/>
    <w:rsid w:val="005D67EC"/>
    <w:rsid w:val="005D7B44"/>
    <w:rsid w:val="005E0171"/>
    <w:rsid w:val="005E01D2"/>
    <w:rsid w:val="005E03A4"/>
    <w:rsid w:val="005E043C"/>
    <w:rsid w:val="005E1A2A"/>
    <w:rsid w:val="005E2302"/>
    <w:rsid w:val="005E3E35"/>
    <w:rsid w:val="005E4AE2"/>
    <w:rsid w:val="005E52FB"/>
    <w:rsid w:val="005E6FEE"/>
    <w:rsid w:val="005E737C"/>
    <w:rsid w:val="005E7A81"/>
    <w:rsid w:val="005F0DF8"/>
    <w:rsid w:val="005F230B"/>
    <w:rsid w:val="005F24E9"/>
    <w:rsid w:val="005F2A8B"/>
    <w:rsid w:val="005F2DFD"/>
    <w:rsid w:val="005F4A3F"/>
    <w:rsid w:val="005F550D"/>
    <w:rsid w:val="005F588A"/>
    <w:rsid w:val="005F5DD4"/>
    <w:rsid w:val="005F75E6"/>
    <w:rsid w:val="005F7915"/>
    <w:rsid w:val="005F7DFD"/>
    <w:rsid w:val="005F7E1F"/>
    <w:rsid w:val="005F7ED7"/>
    <w:rsid w:val="00600550"/>
    <w:rsid w:val="00600D1A"/>
    <w:rsid w:val="00601153"/>
    <w:rsid w:val="006013EC"/>
    <w:rsid w:val="006017AE"/>
    <w:rsid w:val="00601D6E"/>
    <w:rsid w:val="00601EBE"/>
    <w:rsid w:val="00601FED"/>
    <w:rsid w:val="00602D22"/>
    <w:rsid w:val="00602D70"/>
    <w:rsid w:val="006032EC"/>
    <w:rsid w:val="00604319"/>
    <w:rsid w:val="006065EF"/>
    <w:rsid w:val="006069A6"/>
    <w:rsid w:val="00610696"/>
    <w:rsid w:val="00610EB8"/>
    <w:rsid w:val="00611202"/>
    <w:rsid w:val="006116E9"/>
    <w:rsid w:val="00611D2D"/>
    <w:rsid w:val="00611E22"/>
    <w:rsid w:val="006123A0"/>
    <w:rsid w:val="00613019"/>
    <w:rsid w:val="00613E0E"/>
    <w:rsid w:val="0061429B"/>
    <w:rsid w:val="006147D8"/>
    <w:rsid w:val="00615E62"/>
    <w:rsid w:val="00617D66"/>
    <w:rsid w:val="00617FA4"/>
    <w:rsid w:val="006200E4"/>
    <w:rsid w:val="00620722"/>
    <w:rsid w:val="00620E94"/>
    <w:rsid w:val="00620FC6"/>
    <w:rsid w:val="0062234D"/>
    <w:rsid w:val="00622E4C"/>
    <w:rsid w:val="0062318C"/>
    <w:rsid w:val="00623B0D"/>
    <w:rsid w:val="00623B95"/>
    <w:rsid w:val="00624973"/>
    <w:rsid w:val="00624E1B"/>
    <w:rsid w:val="00625080"/>
    <w:rsid w:val="00625A37"/>
    <w:rsid w:val="00625C30"/>
    <w:rsid w:val="00626246"/>
    <w:rsid w:val="00626963"/>
    <w:rsid w:val="006269B7"/>
    <w:rsid w:val="006272FB"/>
    <w:rsid w:val="006306BD"/>
    <w:rsid w:val="00630B49"/>
    <w:rsid w:val="0063107D"/>
    <w:rsid w:val="006322B5"/>
    <w:rsid w:val="00632549"/>
    <w:rsid w:val="00632A06"/>
    <w:rsid w:val="00632E53"/>
    <w:rsid w:val="006333DC"/>
    <w:rsid w:val="00633497"/>
    <w:rsid w:val="00634174"/>
    <w:rsid w:val="006347DD"/>
    <w:rsid w:val="00634E22"/>
    <w:rsid w:val="006353AB"/>
    <w:rsid w:val="006354AA"/>
    <w:rsid w:val="006354D5"/>
    <w:rsid w:val="00635F57"/>
    <w:rsid w:val="00636B48"/>
    <w:rsid w:val="00636F62"/>
    <w:rsid w:val="0063723E"/>
    <w:rsid w:val="00637D20"/>
    <w:rsid w:val="00637D3C"/>
    <w:rsid w:val="0064097A"/>
    <w:rsid w:val="00640C4A"/>
    <w:rsid w:val="00640C5C"/>
    <w:rsid w:val="0064183C"/>
    <w:rsid w:val="006419A9"/>
    <w:rsid w:val="00641AE5"/>
    <w:rsid w:val="00642005"/>
    <w:rsid w:val="0064209F"/>
    <w:rsid w:val="006420F1"/>
    <w:rsid w:val="00642685"/>
    <w:rsid w:val="00642D49"/>
    <w:rsid w:val="00642D5B"/>
    <w:rsid w:val="00643237"/>
    <w:rsid w:val="00644A2D"/>
    <w:rsid w:val="00644CB2"/>
    <w:rsid w:val="00645C65"/>
    <w:rsid w:val="00645CAB"/>
    <w:rsid w:val="00645DE4"/>
    <w:rsid w:val="00647579"/>
    <w:rsid w:val="006503DC"/>
    <w:rsid w:val="0065154A"/>
    <w:rsid w:val="0065238E"/>
    <w:rsid w:val="00652B7B"/>
    <w:rsid w:val="006530F0"/>
    <w:rsid w:val="00654C57"/>
    <w:rsid w:val="00654D2F"/>
    <w:rsid w:val="0065618C"/>
    <w:rsid w:val="006567A0"/>
    <w:rsid w:val="006606CB"/>
    <w:rsid w:val="00660B99"/>
    <w:rsid w:val="00661319"/>
    <w:rsid w:val="0066241E"/>
    <w:rsid w:val="006638C9"/>
    <w:rsid w:val="00664E5C"/>
    <w:rsid w:val="00664F79"/>
    <w:rsid w:val="00664FD3"/>
    <w:rsid w:val="006654A1"/>
    <w:rsid w:val="006667A9"/>
    <w:rsid w:val="0066709D"/>
    <w:rsid w:val="006672FB"/>
    <w:rsid w:val="006678D0"/>
    <w:rsid w:val="00667CC8"/>
    <w:rsid w:val="006701F5"/>
    <w:rsid w:val="00670AA1"/>
    <w:rsid w:val="00670B5E"/>
    <w:rsid w:val="0067114D"/>
    <w:rsid w:val="006723A0"/>
    <w:rsid w:val="0067399A"/>
    <w:rsid w:val="00674B4D"/>
    <w:rsid w:val="00676545"/>
    <w:rsid w:val="006769E4"/>
    <w:rsid w:val="00677629"/>
    <w:rsid w:val="00677D2F"/>
    <w:rsid w:val="00680C0D"/>
    <w:rsid w:val="00680CCE"/>
    <w:rsid w:val="0068140F"/>
    <w:rsid w:val="00681445"/>
    <w:rsid w:val="006816A2"/>
    <w:rsid w:val="006819A8"/>
    <w:rsid w:val="0068211D"/>
    <w:rsid w:val="0068296A"/>
    <w:rsid w:val="006840DA"/>
    <w:rsid w:val="006844CD"/>
    <w:rsid w:val="006853C9"/>
    <w:rsid w:val="00685669"/>
    <w:rsid w:val="00685E46"/>
    <w:rsid w:val="00686C6E"/>
    <w:rsid w:val="00687B5E"/>
    <w:rsid w:val="0069000C"/>
    <w:rsid w:val="00690995"/>
    <w:rsid w:val="00690D38"/>
    <w:rsid w:val="00690E0F"/>
    <w:rsid w:val="00691049"/>
    <w:rsid w:val="00692333"/>
    <w:rsid w:val="006923C0"/>
    <w:rsid w:val="00692590"/>
    <w:rsid w:val="00692913"/>
    <w:rsid w:val="006929EC"/>
    <w:rsid w:val="00692B3E"/>
    <w:rsid w:val="00694709"/>
    <w:rsid w:val="00694959"/>
    <w:rsid w:val="00696522"/>
    <w:rsid w:val="00696D3E"/>
    <w:rsid w:val="00696FCF"/>
    <w:rsid w:val="00697C95"/>
    <w:rsid w:val="006A01E0"/>
    <w:rsid w:val="006A163A"/>
    <w:rsid w:val="006A1796"/>
    <w:rsid w:val="006A2DA2"/>
    <w:rsid w:val="006A376B"/>
    <w:rsid w:val="006A3ECC"/>
    <w:rsid w:val="006A5275"/>
    <w:rsid w:val="006A615F"/>
    <w:rsid w:val="006A6E7C"/>
    <w:rsid w:val="006B04F1"/>
    <w:rsid w:val="006B062D"/>
    <w:rsid w:val="006B0880"/>
    <w:rsid w:val="006B20F8"/>
    <w:rsid w:val="006B2C6A"/>
    <w:rsid w:val="006B2D1E"/>
    <w:rsid w:val="006B2DBD"/>
    <w:rsid w:val="006B2E25"/>
    <w:rsid w:val="006B327B"/>
    <w:rsid w:val="006B36E1"/>
    <w:rsid w:val="006B3930"/>
    <w:rsid w:val="006B44A2"/>
    <w:rsid w:val="006B55B3"/>
    <w:rsid w:val="006B7939"/>
    <w:rsid w:val="006C0C08"/>
    <w:rsid w:val="006C0D0B"/>
    <w:rsid w:val="006C11A6"/>
    <w:rsid w:val="006C147E"/>
    <w:rsid w:val="006C1730"/>
    <w:rsid w:val="006C1D68"/>
    <w:rsid w:val="006C2E8D"/>
    <w:rsid w:val="006C2FD3"/>
    <w:rsid w:val="006C335B"/>
    <w:rsid w:val="006C4A59"/>
    <w:rsid w:val="006C536C"/>
    <w:rsid w:val="006C5D2B"/>
    <w:rsid w:val="006C5F7A"/>
    <w:rsid w:val="006C5FF6"/>
    <w:rsid w:val="006C6AC4"/>
    <w:rsid w:val="006C6DC5"/>
    <w:rsid w:val="006C79A1"/>
    <w:rsid w:val="006C7EF4"/>
    <w:rsid w:val="006D001F"/>
    <w:rsid w:val="006D108D"/>
    <w:rsid w:val="006D1FD6"/>
    <w:rsid w:val="006D2012"/>
    <w:rsid w:val="006D238B"/>
    <w:rsid w:val="006D25BA"/>
    <w:rsid w:val="006D37B6"/>
    <w:rsid w:val="006D3941"/>
    <w:rsid w:val="006D4253"/>
    <w:rsid w:val="006D429B"/>
    <w:rsid w:val="006D4E66"/>
    <w:rsid w:val="006D643C"/>
    <w:rsid w:val="006D7049"/>
    <w:rsid w:val="006E16F4"/>
    <w:rsid w:val="006E1F60"/>
    <w:rsid w:val="006E202C"/>
    <w:rsid w:val="006E27A1"/>
    <w:rsid w:val="006E2B4A"/>
    <w:rsid w:val="006E3079"/>
    <w:rsid w:val="006E30DE"/>
    <w:rsid w:val="006E334E"/>
    <w:rsid w:val="006E54BA"/>
    <w:rsid w:val="006E5DDD"/>
    <w:rsid w:val="006E6690"/>
    <w:rsid w:val="006E66A5"/>
    <w:rsid w:val="006E766B"/>
    <w:rsid w:val="006F01B7"/>
    <w:rsid w:val="006F0298"/>
    <w:rsid w:val="006F14B1"/>
    <w:rsid w:val="006F22FE"/>
    <w:rsid w:val="006F237E"/>
    <w:rsid w:val="006F32C4"/>
    <w:rsid w:val="006F40BE"/>
    <w:rsid w:val="006F41A9"/>
    <w:rsid w:val="006F42A3"/>
    <w:rsid w:val="006F4A62"/>
    <w:rsid w:val="006F5225"/>
    <w:rsid w:val="006F5C53"/>
    <w:rsid w:val="006F5D29"/>
    <w:rsid w:val="006F5E62"/>
    <w:rsid w:val="006F65F9"/>
    <w:rsid w:val="006F6680"/>
    <w:rsid w:val="006F6C30"/>
    <w:rsid w:val="00700419"/>
    <w:rsid w:val="00700937"/>
    <w:rsid w:val="007014D9"/>
    <w:rsid w:val="00702AB1"/>
    <w:rsid w:val="0070353E"/>
    <w:rsid w:val="007039C8"/>
    <w:rsid w:val="007047B6"/>
    <w:rsid w:val="00704BE1"/>
    <w:rsid w:val="00704D1E"/>
    <w:rsid w:val="00704FE4"/>
    <w:rsid w:val="007055F6"/>
    <w:rsid w:val="00705A65"/>
    <w:rsid w:val="00705CB3"/>
    <w:rsid w:val="00706741"/>
    <w:rsid w:val="00706A6B"/>
    <w:rsid w:val="00706D43"/>
    <w:rsid w:val="00706EC1"/>
    <w:rsid w:val="00707600"/>
    <w:rsid w:val="00707A5C"/>
    <w:rsid w:val="007109C7"/>
    <w:rsid w:val="00710C81"/>
    <w:rsid w:val="00710C9D"/>
    <w:rsid w:val="0071137C"/>
    <w:rsid w:val="00711C9B"/>
    <w:rsid w:val="00713293"/>
    <w:rsid w:val="0071362D"/>
    <w:rsid w:val="00713BC8"/>
    <w:rsid w:val="007153B5"/>
    <w:rsid w:val="00715690"/>
    <w:rsid w:val="007156E8"/>
    <w:rsid w:val="00715EFF"/>
    <w:rsid w:val="00716D77"/>
    <w:rsid w:val="007172EF"/>
    <w:rsid w:val="00717441"/>
    <w:rsid w:val="00717801"/>
    <w:rsid w:val="007202BB"/>
    <w:rsid w:val="007204F5"/>
    <w:rsid w:val="00720878"/>
    <w:rsid w:val="00721140"/>
    <w:rsid w:val="0072173A"/>
    <w:rsid w:val="00721752"/>
    <w:rsid w:val="007217D0"/>
    <w:rsid w:val="00721AFB"/>
    <w:rsid w:val="00721C53"/>
    <w:rsid w:val="00721F94"/>
    <w:rsid w:val="00721FB8"/>
    <w:rsid w:val="007226C5"/>
    <w:rsid w:val="007229EB"/>
    <w:rsid w:val="00722B22"/>
    <w:rsid w:val="00724286"/>
    <w:rsid w:val="0072429C"/>
    <w:rsid w:val="007243BF"/>
    <w:rsid w:val="00724C8C"/>
    <w:rsid w:val="00724FA7"/>
    <w:rsid w:val="00725DDA"/>
    <w:rsid w:val="007266D7"/>
    <w:rsid w:val="00726C24"/>
    <w:rsid w:val="00726E0C"/>
    <w:rsid w:val="00726E93"/>
    <w:rsid w:val="0072764C"/>
    <w:rsid w:val="00727D99"/>
    <w:rsid w:val="007303D2"/>
    <w:rsid w:val="007304ED"/>
    <w:rsid w:val="007306EF"/>
    <w:rsid w:val="0073096C"/>
    <w:rsid w:val="00730B41"/>
    <w:rsid w:val="0073139D"/>
    <w:rsid w:val="0073169C"/>
    <w:rsid w:val="00731E4C"/>
    <w:rsid w:val="00732084"/>
    <w:rsid w:val="00732EC3"/>
    <w:rsid w:val="00733341"/>
    <w:rsid w:val="007339CF"/>
    <w:rsid w:val="00733DB1"/>
    <w:rsid w:val="007349E9"/>
    <w:rsid w:val="00734F43"/>
    <w:rsid w:val="00735AC9"/>
    <w:rsid w:val="007366F5"/>
    <w:rsid w:val="00736C63"/>
    <w:rsid w:val="00737A00"/>
    <w:rsid w:val="007409A6"/>
    <w:rsid w:val="007413D2"/>
    <w:rsid w:val="00741972"/>
    <w:rsid w:val="007421C6"/>
    <w:rsid w:val="00742253"/>
    <w:rsid w:val="0074334F"/>
    <w:rsid w:val="00743EBD"/>
    <w:rsid w:val="00744623"/>
    <w:rsid w:val="00744A6F"/>
    <w:rsid w:val="00744DF6"/>
    <w:rsid w:val="00744EA6"/>
    <w:rsid w:val="00745013"/>
    <w:rsid w:val="00745437"/>
    <w:rsid w:val="00745DE0"/>
    <w:rsid w:val="00745F85"/>
    <w:rsid w:val="00746181"/>
    <w:rsid w:val="00746CA1"/>
    <w:rsid w:val="00746F50"/>
    <w:rsid w:val="0074727F"/>
    <w:rsid w:val="00747738"/>
    <w:rsid w:val="0074799F"/>
    <w:rsid w:val="00751101"/>
    <w:rsid w:val="007514DF"/>
    <w:rsid w:val="00751AE2"/>
    <w:rsid w:val="00751F8C"/>
    <w:rsid w:val="00752B58"/>
    <w:rsid w:val="0075346B"/>
    <w:rsid w:val="0075485F"/>
    <w:rsid w:val="00754B11"/>
    <w:rsid w:val="00755B8B"/>
    <w:rsid w:val="00755F9F"/>
    <w:rsid w:val="0075654C"/>
    <w:rsid w:val="00756604"/>
    <w:rsid w:val="00756B38"/>
    <w:rsid w:val="00756BAD"/>
    <w:rsid w:val="00760910"/>
    <w:rsid w:val="007616D7"/>
    <w:rsid w:val="00761CB0"/>
    <w:rsid w:val="00761CBB"/>
    <w:rsid w:val="00762727"/>
    <w:rsid w:val="00762BCE"/>
    <w:rsid w:val="00763F93"/>
    <w:rsid w:val="007648DA"/>
    <w:rsid w:val="00764CCC"/>
    <w:rsid w:val="00764D5C"/>
    <w:rsid w:val="00765AAF"/>
    <w:rsid w:val="007660D8"/>
    <w:rsid w:val="00767C25"/>
    <w:rsid w:val="00767E35"/>
    <w:rsid w:val="0077042F"/>
    <w:rsid w:val="00771D30"/>
    <w:rsid w:val="00773657"/>
    <w:rsid w:val="007736BF"/>
    <w:rsid w:val="0077483D"/>
    <w:rsid w:val="007752F3"/>
    <w:rsid w:val="00775713"/>
    <w:rsid w:val="00775B65"/>
    <w:rsid w:val="00776518"/>
    <w:rsid w:val="007765CA"/>
    <w:rsid w:val="00777196"/>
    <w:rsid w:val="007772AD"/>
    <w:rsid w:val="00777838"/>
    <w:rsid w:val="00777EA6"/>
    <w:rsid w:val="007806D6"/>
    <w:rsid w:val="00780769"/>
    <w:rsid w:val="0078114D"/>
    <w:rsid w:val="007814C1"/>
    <w:rsid w:val="00781EFC"/>
    <w:rsid w:val="007824E5"/>
    <w:rsid w:val="00782F8B"/>
    <w:rsid w:val="007847DA"/>
    <w:rsid w:val="0078482A"/>
    <w:rsid w:val="0078492B"/>
    <w:rsid w:val="00785492"/>
    <w:rsid w:val="00786236"/>
    <w:rsid w:val="0078691F"/>
    <w:rsid w:val="00787740"/>
    <w:rsid w:val="00790347"/>
    <w:rsid w:val="00790380"/>
    <w:rsid w:val="00790B7E"/>
    <w:rsid w:val="00790C7B"/>
    <w:rsid w:val="0079102B"/>
    <w:rsid w:val="007916D6"/>
    <w:rsid w:val="00791C2A"/>
    <w:rsid w:val="00791E85"/>
    <w:rsid w:val="00792348"/>
    <w:rsid w:val="007926DD"/>
    <w:rsid w:val="007928F2"/>
    <w:rsid w:val="00792C99"/>
    <w:rsid w:val="00793E60"/>
    <w:rsid w:val="00796699"/>
    <w:rsid w:val="00797DDE"/>
    <w:rsid w:val="007A03CA"/>
    <w:rsid w:val="007A0BFD"/>
    <w:rsid w:val="007A1714"/>
    <w:rsid w:val="007A1C33"/>
    <w:rsid w:val="007A2B54"/>
    <w:rsid w:val="007A31A0"/>
    <w:rsid w:val="007A399F"/>
    <w:rsid w:val="007A400C"/>
    <w:rsid w:val="007A50AC"/>
    <w:rsid w:val="007A6054"/>
    <w:rsid w:val="007A66C6"/>
    <w:rsid w:val="007A6A85"/>
    <w:rsid w:val="007A6CC4"/>
    <w:rsid w:val="007A6EA9"/>
    <w:rsid w:val="007A7439"/>
    <w:rsid w:val="007A745F"/>
    <w:rsid w:val="007A77F3"/>
    <w:rsid w:val="007A7BA9"/>
    <w:rsid w:val="007B0DFC"/>
    <w:rsid w:val="007B0F67"/>
    <w:rsid w:val="007B0F88"/>
    <w:rsid w:val="007B2A8E"/>
    <w:rsid w:val="007B2D38"/>
    <w:rsid w:val="007B2E45"/>
    <w:rsid w:val="007B2F99"/>
    <w:rsid w:val="007B350A"/>
    <w:rsid w:val="007B390B"/>
    <w:rsid w:val="007B4504"/>
    <w:rsid w:val="007B49AF"/>
    <w:rsid w:val="007B58C7"/>
    <w:rsid w:val="007B5A5F"/>
    <w:rsid w:val="007B76C0"/>
    <w:rsid w:val="007B7C3C"/>
    <w:rsid w:val="007B7DF8"/>
    <w:rsid w:val="007C09CC"/>
    <w:rsid w:val="007C1110"/>
    <w:rsid w:val="007C1726"/>
    <w:rsid w:val="007C1D9B"/>
    <w:rsid w:val="007C257E"/>
    <w:rsid w:val="007C36F7"/>
    <w:rsid w:val="007C3CAB"/>
    <w:rsid w:val="007C496E"/>
    <w:rsid w:val="007C49DC"/>
    <w:rsid w:val="007C5AA4"/>
    <w:rsid w:val="007C6B49"/>
    <w:rsid w:val="007D0AE9"/>
    <w:rsid w:val="007D0DA9"/>
    <w:rsid w:val="007D13A4"/>
    <w:rsid w:val="007D26D0"/>
    <w:rsid w:val="007D3416"/>
    <w:rsid w:val="007D408F"/>
    <w:rsid w:val="007D49A8"/>
    <w:rsid w:val="007D5516"/>
    <w:rsid w:val="007D55B3"/>
    <w:rsid w:val="007D5D5E"/>
    <w:rsid w:val="007D5EE2"/>
    <w:rsid w:val="007D5FAD"/>
    <w:rsid w:val="007D656A"/>
    <w:rsid w:val="007D7DC1"/>
    <w:rsid w:val="007E1603"/>
    <w:rsid w:val="007E2EF1"/>
    <w:rsid w:val="007E3E0B"/>
    <w:rsid w:val="007E5331"/>
    <w:rsid w:val="007E5F52"/>
    <w:rsid w:val="007E6ED4"/>
    <w:rsid w:val="007F1815"/>
    <w:rsid w:val="007F1AB2"/>
    <w:rsid w:val="007F1F1E"/>
    <w:rsid w:val="007F214D"/>
    <w:rsid w:val="007F32DF"/>
    <w:rsid w:val="007F3646"/>
    <w:rsid w:val="007F433E"/>
    <w:rsid w:val="007F449E"/>
    <w:rsid w:val="007F4B7B"/>
    <w:rsid w:val="007F6657"/>
    <w:rsid w:val="007F79FF"/>
    <w:rsid w:val="00800391"/>
    <w:rsid w:val="00801AE5"/>
    <w:rsid w:val="00801E8C"/>
    <w:rsid w:val="00802C5F"/>
    <w:rsid w:val="00802F36"/>
    <w:rsid w:val="00803387"/>
    <w:rsid w:val="00803C1E"/>
    <w:rsid w:val="0080564C"/>
    <w:rsid w:val="00805C44"/>
    <w:rsid w:val="00806DD4"/>
    <w:rsid w:val="00806F72"/>
    <w:rsid w:val="00806F7E"/>
    <w:rsid w:val="00810498"/>
    <w:rsid w:val="00811AC5"/>
    <w:rsid w:val="0081224B"/>
    <w:rsid w:val="008126D1"/>
    <w:rsid w:val="00813221"/>
    <w:rsid w:val="0081551E"/>
    <w:rsid w:val="00815CD8"/>
    <w:rsid w:val="008174FE"/>
    <w:rsid w:val="008176CD"/>
    <w:rsid w:val="0081793B"/>
    <w:rsid w:val="00817CBE"/>
    <w:rsid w:val="008201D6"/>
    <w:rsid w:val="008212DA"/>
    <w:rsid w:val="00821422"/>
    <w:rsid w:val="00821F67"/>
    <w:rsid w:val="00821F91"/>
    <w:rsid w:val="008220E1"/>
    <w:rsid w:val="008221FB"/>
    <w:rsid w:val="00822987"/>
    <w:rsid w:val="00823920"/>
    <w:rsid w:val="00823CE3"/>
    <w:rsid w:val="00824B2D"/>
    <w:rsid w:val="00824EA6"/>
    <w:rsid w:val="008258CA"/>
    <w:rsid w:val="00825D0D"/>
    <w:rsid w:val="00826001"/>
    <w:rsid w:val="00826550"/>
    <w:rsid w:val="00826B45"/>
    <w:rsid w:val="0082706F"/>
    <w:rsid w:val="008272E5"/>
    <w:rsid w:val="008273F4"/>
    <w:rsid w:val="0082784F"/>
    <w:rsid w:val="00830236"/>
    <w:rsid w:val="00830E3B"/>
    <w:rsid w:val="008313F0"/>
    <w:rsid w:val="008313FC"/>
    <w:rsid w:val="00831709"/>
    <w:rsid w:val="008324E6"/>
    <w:rsid w:val="008325E9"/>
    <w:rsid w:val="00832A7B"/>
    <w:rsid w:val="0083381F"/>
    <w:rsid w:val="00833CBE"/>
    <w:rsid w:val="008342F7"/>
    <w:rsid w:val="0083492D"/>
    <w:rsid w:val="008355FE"/>
    <w:rsid w:val="008357AD"/>
    <w:rsid w:val="00835A37"/>
    <w:rsid w:val="00835F2E"/>
    <w:rsid w:val="008370A1"/>
    <w:rsid w:val="008403C4"/>
    <w:rsid w:val="00841B52"/>
    <w:rsid w:val="0084335D"/>
    <w:rsid w:val="00843592"/>
    <w:rsid w:val="00843AED"/>
    <w:rsid w:val="00843D0B"/>
    <w:rsid w:val="00844CCA"/>
    <w:rsid w:val="008452F3"/>
    <w:rsid w:val="00845693"/>
    <w:rsid w:val="00845727"/>
    <w:rsid w:val="008460FF"/>
    <w:rsid w:val="008462CB"/>
    <w:rsid w:val="00846806"/>
    <w:rsid w:val="00846C12"/>
    <w:rsid w:val="00847469"/>
    <w:rsid w:val="008477C5"/>
    <w:rsid w:val="008478A6"/>
    <w:rsid w:val="00847DA7"/>
    <w:rsid w:val="008504D8"/>
    <w:rsid w:val="00850981"/>
    <w:rsid w:val="0085105D"/>
    <w:rsid w:val="0085126B"/>
    <w:rsid w:val="00852E6A"/>
    <w:rsid w:val="00852F6F"/>
    <w:rsid w:val="00854A70"/>
    <w:rsid w:val="00854BC4"/>
    <w:rsid w:val="00854CF2"/>
    <w:rsid w:val="0085527B"/>
    <w:rsid w:val="008554D2"/>
    <w:rsid w:val="00855678"/>
    <w:rsid w:val="00855E50"/>
    <w:rsid w:val="00856713"/>
    <w:rsid w:val="00856945"/>
    <w:rsid w:val="008576C1"/>
    <w:rsid w:val="00857C58"/>
    <w:rsid w:val="00857E86"/>
    <w:rsid w:val="00857EC3"/>
    <w:rsid w:val="008604CD"/>
    <w:rsid w:val="00860E41"/>
    <w:rsid w:val="0086146C"/>
    <w:rsid w:val="008617BF"/>
    <w:rsid w:val="00861CDB"/>
    <w:rsid w:val="008621FD"/>
    <w:rsid w:val="0086354C"/>
    <w:rsid w:val="00864CDB"/>
    <w:rsid w:val="00864FA3"/>
    <w:rsid w:val="008662D1"/>
    <w:rsid w:val="00866FC3"/>
    <w:rsid w:val="00867C42"/>
    <w:rsid w:val="00870069"/>
    <w:rsid w:val="00870142"/>
    <w:rsid w:val="008707E1"/>
    <w:rsid w:val="00871062"/>
    <w:rsid w:val="008718CB"/>
    <w:rsid w:val="00872A0B"/>
    <w:rsid w:val="00872FEA"/>
    <w:rsid w:val="008735AC"/>
    <w:rsid w:val="00873772"/>
    <w:rsid w:val="008738AF"/>
    <w:rsid w:val="00874185"/>
    <w:rsid w:val="00874199"/>
    <w:rsid w:val="008745BE"/>
    <w:rsid w:val="00874A8B"/>
    <w:rsid w:val="0087546E"/>
    <w:rsid w:val="008759F4"/>
    <w:rsid w:val="008761CC"/>
    <w:rsid w:val="008762B3"/>
    <w:rsid w:val="00876365"/>
    <w:rsid w:val="00880633"/>
    <w:rsid w:val="00882291"/>
    <w:rsid w:val="00882C00"/>
    <w:rsid w:val="00882E78"/>
    <w:rsid w:val="0088381A"/>
    <w:rsid w:val="00884075"/>
    <w:rsid w:val="00885920"/>
    <w:rsid w:val="008859C5"/>
    <w:rsid w:val="00885B6C"/>
    <w:rsid w:val="008878B9"/>
    <w:rsid w:val="00887E31"/>
    <w:rsid w:val="00890BA8"/>
    <w:rsid w:val="00890FE6"/>
    <w:rsid w:val="00891257"/>
    <w:rsid w:val="008931B5"/>
    <w:rsid w:val="008936F3"/>
    <w:rsid w:val="00893F77"/>
    <w:rsid w:val="008949A9"/>
    <w:rsid w:val="008954C5"/>
    <w:rsid w:val="00895E14"/>
    <w:rsid w:val="00896C78"/>
    <w:rsid w:val="00896EF8"/>
    <w:rsid w:val="00896F39"/>
    <w:rsid w:val="008977C2"/>
    <w:rsid w:val="0089782F"/>
    <w:rsid w:val="00897860"/>
    <w:rsid w:val="008A043A"/>
    <w:rsid w:val="008A0CBB"/>
    <w:rsid w:val="008A1058"/>
    <w:rsid w:val="008A1117"/>
    <w:rsid w:val="008A15D6"/>
    <w:rsid w:val="008A1ACA"/>
    <w:rsid w:val="008A2522"/>
    <w:rsid w:val="008A260D"/>
    <w:rsid w:val="008A26A7"/>
    <w:rsid w:val="008A3D62"/>
    <w:rsid w:val="008A41B0"/>
    <w:rsid w:val="008A4A45"/>
    <w:rsid w:val="008A4F4A"/>
    <w:rsid w:val="008A4FEC"/>
    <w:rsid w:val="008A5728"/>
    <w:rsid w:val="008A679A"/>
    <w:rsid w:val="008A6963"/>
    <w:rsid w:val="008A6E57"/>
    <w:rsid w:val="008A7DC4"/>
    <w:rsid w:val="008B0CA1"/>
    <w:rsid w:val="008B0DBE"/>
    <w:rsid w:val="008B0F7C"/>
    <w:rsid w:val="008B0FB1"/>
    <w:rsid w:val="008B19F3"/>
    <w:rsid w:val="008B1AD3"/>
    <w:rsid w:val="008B25BB"/>
    <w:rsid w:val="008B2C26"/>
    <w:rsid w:val="008B3884"/>
    <w:rsid w:val="008B3F36"/>
    <w:rsid w:val="008B55F4"/>
    <w:rsid w:val="008B58D3"/>
    <w:rsid w:val="008B602A"/>
    <w:rsid w:val="008B60AE"/>
    <w:rsid w:val="008B64E1"/>
    <w:rsid w:val="008B6E0D"/>
    <w:rsid w:val="008B7C9B"/>
    <w:rsid w:val="008B7FB3"/>
    <w:rsid w:val="008C067A"/>
    <w:rsid w:val="008C0B0A"/>
    <w:rsid w:val="008C21B6"/>
    <w:rsid w:val="008C27EE"/>
    <w:rsid w:val="008C372B"/>
    <w:rsid w:val="008C3B1D"/>
    <w:rsid w:val="008C4CC3"/>
    <w:rsid w:val="008C5A8E"/>
    <w:rsid w:val="008C5E5A"/>
    <w:rsid w:val="008C5FCB"/>
    <w:rsid w:val="008C6AC0"/>
    <w:rsid w:val="008C7063"/>
    <w:rsid w:val="008C7255"/>
    <w:rsid w:val="008C788A"/>
    <w:rsid w:val="008C7D81"/>
    <w:rsid w:val="008D052E"/>
    <w:rsid w:val="008D0581"/>
    <w:rsid w:val="008D0C29"/>
    <w:rsid w:val="008D0EC0"/>
    <w:rsid w:val="008D1497"/>
    <w:rsid w:val="008D189F"/>
    <w:rsid w:val="008D1A50"/>
    <w:rsid w:val="008D1DF9"/>
    <w:rsid w:val="008D299D"/>
    <w:rsid w:val="008D2A93"/>
    <w:rsid w:val="008D390B"/>
    <w:rsid w:val="008D3FBB"/>
    <w:rsid w:val="008D40AE"/>
    <w:rsid w:val="008D4776"/>
    <w:rsid w:val="008D4BF2"/>
    <w:rsid w:val="008D5E9D"/>
    <w:rsid w:val="008D614D"/>
    <w:rsid w:val="008D61DC"/>
    <w:rsid w:val="008D66C0"/>
    <w:rsid w:val="008D6B67"/>
    <w:rsid w:val="008D6CE1"/>
    <w:rsid w:val="008D6DF5"/>
    <w:rsid w:val="008E0883"/>
    <w:rsid w:val="008E0B61"/>
    <w:rsid w:val="008E14AB"/>
    <w:rsid w:val="008E19AA"/>
    <w:rsid w:val="008E2845"/>
    <w:rsid w:val="008E2E66"/>
    <w:rsid w:val="008E33DE"/>
    <w:rsid w:val="008E3682"/>
    <w:rsid w:val="008E3D22"/>
    <w:rsid w:val="008E4037"/>
    <w:rsid w:val="008E46B8"/>
    <w:rsid w:val="008E4955"/>
    <w:rsid w:val="008E4F06"/>
    <w:rsid w:val="008E56C1"/>
    <w:rsid w:val="008E5B17"/>
    <w:rsid w:val="008E64EE"/>
    <w:rsid w:val="008E6F9D"/>
    <w:rsid w:val="008E759F"/>
    <w:rsid w:val="008E7F38"/>
    <w:rsid w:val="008F0C53"/>
    <w:rsid w:val="008F1248"/>
    <w:rsid w:val="008F13E6"/>
    <w:rsid w:val="008F16B2"/>
    <w:rsid w:val="008F1A2C"/>
    <w:rsid w:val="008F20F7"/>
    <w:rsid w:val="008F2192"/>
    <w:rsid w:val="008F28E3"/>
    <w:rsid w:val="008F326A"/>
    <w:rsid w:val="008F463C"/>
    <w:rsid w:val="008F46FC"/>
    <w:rsid w:val="008F58E3"/>
    <w:rsid w:val="008F5CE6"/>
    <w:rsid w:val="008F60EF"/>
    <w:rsid w:val="008F6813"/>
    <w:rsid w:val="008F6A0C"/>
    <w:rsid w:val="008F6B43"/>
    <w:rsid w:val="008F6C19"/>
    <w:rsid w:val="008F7A86"/>
    <w:rsid w:val="008F7F9C"/>
    <w:rsid w:val="0090051F"/>
    <w:rsid w:val="00901AC1"/>
    <w:rsid w:val="00901DBA"/>
    <w:rsid w:val="00902D20"/>
    <w:rsid w:val="00902FB9"/>
    <w:rsid w:val="0090329B"/>
    <w:rsid w:val="009035BC"/>
    <w:rsid w:val="00904AD8"/>
    <w:rsid w:val="009051AA"/>
    <w:rsid w:val="00905B13"/>
    <w:rsid w:val="00907440"/>
    <w:rsid w:val="00910192"/>
    <w:rsid w:val="009111EB"/>
    <w:rsid w:val="00911394"/>
    <w:rsid w:val="0091157C"/>
    <w:rsid w:val="009115C7"/>
    <w:rsid w:val="00911D7E"/>
    <w:rsid w:val="00912183"/>
    <w:rsid w:val="0091272D"/>
    <w:rsid w:val="0091299F"/>
    <w:rsid w:val="00913537"/>
    <w:rsid w:val="009139DD"/>
    <w:rsid w:val="009143A5"/>
    <w:rsid w:val="009148D0"/>
    <w:rsid w:val="00914D5E"/>
    <w:rsid w:val="00914F6A"/>
    <w:rsid w:val="00916938"/>
    <w:rsid w:val="00916B86"/>
    <w:rsid w:val="009178A0"/>
    <w:rsid w:val="009179D9"/>
    <w:rsid w:val="00917D43"/>
    <w:rsid w:val="00917EA0"/>
    <w:rsid w:val="00920B04"/>
    <w:rsid w:val="0092149A"/>
    <w:rsid w:val="00922059"/>
    <w:rsid w:val="00922325"/>
    <w:rsid w:val="00922799"/>
    <w:rsid w:val="00922A1B"/>
    <w:rsid w:val="00922E41"/>
    <w:rsid w:val="00923E78"/>
    <w:rsid w:val="00925865"/>
    <w:rsid w:val="0092706D"/>
    <w:rsid w:val="009271A1"/>
    <w:rsid w:val="00927420"/>
    <w:rsid w:val="00927906"/>
    <w:rsid w:val="00927BF0"/>
    <w:rsid w:val="009302F0"/>
    <w:rsid w:val="00930594"/>
    <w:rsid w:val="009309A7"/>
    <w:rsid w:val="0093147E"/>
    <w:rsid w:val="00931C8D"/>
    <w:rsid w:val="00931CCC"/>
    <w:rsid w:val="00932A5D"/>
    <w:rsid w:val="00933DF0"/>
    <w:rsid w:val="00934350"/>
    <w:rsid w:val="00935B02"/>
    <w:rsid w:val="00935BA1"/>
    <w:rsid w:val="00935D29"/>
    <w:rsid w:val="00935E20"/>
    <w:rsid w:val="00936DE1"/>
    <w:rsid w:val="0093745B"/>
    <w:rsid w:val="00940F7D"/>
    <w:rsid w:val="00942946"/>
    <w:rsid w:val="00943137"/>
    <w:rsid w:val="00943A0B"/>
    <w:rsid w:val="00944E7A"/>
    <w:rsid w:val="00944F56"/>
    <w:rsid w:val="009454BF"/>
    <w:rsid w:val="009455F8"/>
    <w:rsid w:val="009457D3"/>
    <w:rsid w:val="00945B40"/>
    <w:rsid w:val="00946112"/>
    <w:rsid w:val="00946B58"/>
    <w:rsid w:val="00946DF4"/>
    <w:rsid w:val="00946FE4"/>
    <w:rsid w:val="00947465"/>
    <w:rsid w:val="00947CFA"/>
    <w:rsid w:val="00950EBB"/>
    <w:rsid w:val="009512DA"/>
    <w:rsid w:val="00952478"/>
    <w:rsid w:val="00952FB7"/>
    <w:rsid w:val="009545E8"/>
    <w:rsid w:val="0095524D"/>
    <w:rsid w:val="00956688"/>
    <w:rsid w:val="009566E1"/>
    <w:rsid w:val="00956AF0"/>
    <w:rsid w:val="00956C06"/>
    <w:rsid w:val="0095717D"/>
    <w:rsid w:val="009571FF"/>
    <w:rsid w:val="00957A1E"/>
    <w:rsid w:val="00957F09"/>
    <w:rsid w:val="0096054D"/>
    <w:rsid w:val="0096185C"/>
    <w:rsid w:val="00961979"/>
    <w:rsid w:val="00961BC1"/>
    <w:rsid w:val="00961CCA"/>
    <w:rsid w:val="00961D95"/>
    <w:rsid w:val="0096242F"/>
    <w:rsid w:val="009628FF"/>
    <w:rsid w:val="00962D5C"/>
    <w:rsid w:val="00962DBE"/>
    <w:rsid w:val="00962E23"/>
    <w:rsid w:val="0096426E"/>
    <w:rsid w:val="00965DD2"/>
    <w:rsid w:val="009663B2"/>
    <w:rsid w:val="009666AB"/>
    <w:rsid w:val="009668F3"/>
    <w:rsid w:val="00967F90"/>
    <w:rsid w:val="00970A0A"/>
    <w:rsid w:val="0097137F"/>
    <w:rsid w:val="00971E79"/>
    <w:rsid w:val="0097244C"/>
    <w:rsid w:val="00972AED"/>
    <w:rsid w:val="0097360A"/>
    <w:rsid w:val="00973D20"/>
    <w:rsid w:val="00975190"/>
    <w:rsid w:val="009754F5"/>
    <w:rsid w:val="009808D3"/>
    <w:rsid w:val="00980A3E"/>
    <w:rsid w:val="00981A02"/>
    <w:rsid w:val="00981EAD"/>
    <w:rsid w:val="00981EBF"/>
    <w:rsid w:val="009826B5"/>
    <w:rsid w:val="00983686"/>
    <w:rsid w:val="009849E4"/>
    <w:rsid w:val="00984A03"/>
    <w:rsid w:val="00984F4B"/>
    <w:rsid w:val="0098557B"/>
    <w:rsid w:val="00985790"/>
    <w:rsid w:val="00985CCE"/>
    <w:rsid w:val="00986998"/>
    <w:rsid w:val="00987286"/>
    <w:rsid w:val="009874A1"/>
    <w:rsid w:val="00987A7D"/>
    <w:rsid w:val="00990AE7"/>
    <w:rsid w:val="00992D16"/>
    <w:rsid w:val="0099339A"/>
    <w:rsid w:val="00993BF0"/>
    <w:rsid w:val="00993DD2"/>
    <w:rsid w:val="009941F4"/>
    <w:rsid w:val="00996935"/>
    <w:rsid w:val="00997E06"/>
    <w:rsid w:val="009A0005"/>
    <w:rsid w:val="009A00D9"/>
    <w:rsid w:val="009A1DD4"/>
    <w:rsid w:val="009A253D"/>
    <w:rsid w:val="009A339C"/>
    <w:rsid w:val="009A468B"/>
    <w:rsid w:val="009A5C53"/>
    <w:rsid w:val="009A6291"/>
    <w:rsid w:val="009A6E31"/>
    <w:rsid w:val="009A7170"/>
    <w:rsid w:val="009A7771"/>
    <w:rsid w:val="009A7AD4"/>
    <w:rsid w:val="009A7E27"/>
    <w:rsid w:val="009A7E29"/>
    <w:rsid w:val="009B10A3"/>
    <w:rsid w:val="009B12C2"/>
    <w:rsid w:val="009B1A41"/>
    <w:rsid w:val="009B1C63"/>
    <w:rsid w:val="009B37E5"/>
    <w:rsid w:val="009B4397"/>
    <w:rsid w:val="009B4BAD"/>
    <w:rsid w:val="009B58A2"/>
    <w:rsid w:val="009B5BC1"/>
    <w:rsid w:val="009B62FD"/>
    <w:rsid w:val="009B688D"/>
    <w:rsid w:val="009B6FCB"/>
    <w:rsid w:val="009B70A7"/>
    <w:rsid w:val="009B7CB7"/>
    <w:rsid w:val="009B7D16"/>
    <w:rsid w:val="009B7D55"/>
    <w:rsid w:val="009C091C"/>
    <w:rsid w:val="009C0FED"/>
    <w:rsid w:val="009C298F"/>
    <w:rsid w:val="009C2BD6"/>
    <w:rsid w:val="009C37F3"/>
    <w:rsid w:val="009C422B"/>
    <w:rsid w:val="009C43CF"/>
    <w:rsid w:val="009C49EC"/>
    <w:rsid w:val="009C4FD1"/>
    <w:rsid w:val="009C7368"/>
    <w:rsid w:val="009C78EB"/>
    <w:rsid w:val="009D0119"/>
    <w:rsid w:val="009D054C"/>
    <w:rsid w:val="009D1F8F"/>
    <w:rsid w:val="009D2717"/>
    <w:rsid w:val="009D2C2C"/>
    <w:rsid w:val="009D364F"/>
    <w:rsid w:val="009D43C6"/>
    <w:rsid w:val="009D5889"/>
    <w:rsid w:val="009D5CD0"/>
    <w:rsid w:val="009D5F72"/>
    <w:rsid w:val="009D6D98"/>
    <w:rsid w:val="009D7477"/>
    <w:rsid w:val="009D7679"/>
    <w:rsid w:val="009D7788"/>
    <w:rsid w:val="009E1238"/>
    <w:rsid w:val="009E18C3"/>
    <w:rsid w:val="009E1BA0"/>
    <w:rsid w:val="009E1FAC"/>
    <w:rsid w:val="009E3B84"/>
    <w:rsid w:val="009E4A1F"/>
    <w:rsid w:val="009E5456"/>
    <w:rsid w:val="009E616B"/>
    <w:rsid w:val="009E72EB"/>
    <w:rsid w:val="009E79F5"/>
    <w:rsid w:val="009F02D8"/>
    <w:rsid w:val="009F0553"/>
    <w:rsid w:val="009F20DC"/>
    <w:rsid w:val="009F23DD"/>
    <w:rsid w:val="009F259F"/>
    <w:rsid w:val="009F2C7D"/>
    <w:rsid w:val="009F2CBA"/>
    <w:rsid w:val="009F30D0"/>
    <w:rsid w:val="009F31EB"/>
    <w:rsid w:val="009F359F"/>
    <w:rsid w:val="009F6912"/>
    <w:rsid w:val="009F6C55"/>
    <w:rsid w:val="009F7791"/>
    <w:rsid w:val="009F7A14"/>
    <w:rsid w:val="009F7CA1"/>
    <w:rsid w:val="00A006AE"/>
    <w:rsid w:val="00A009D3"/>
    <w:rsid w:val="00A00B99"/>
    <w:rsid w:val="00A013AF"/>
    <w:rsid w:val="00A01E12"/>
    <w:rsid w:val="00A01FB0"/>
    <w:rsid w:val="00A027F8"/>
    <w:rsid w:val="00A03060"/>
    <w:rsid w:val="00A03826"/>
    <w:rsid w:val="00A048D0"/>
    <w:rsid w:val="00A04D18"/>
    <w:rsid w:val="00A04D87"/>
    <w:rsid w:val="00A054E5"/>
    <w:rsid w:val="00A05B5B"/>
    <w:rsid w:val="00A061EC"/>
    <w:rsid w:val="00A06916"/>
    <w:rsid w:val="00A071F6"/>
    <w:rsid w:val="00A072CB"/>
    <w:rsid w:val="00A07A22"/>
    <w:rsid w:val="00A07E0C"/>
    <w:rsid w:val="00A105DA"/>
    <w:rsid w:val="00A14AB2"/>
    <w:rsid w:val="00A14C75"/>
    <w:rsid w:val="00A14D25"/>
    <w:rsid w:val="00A154CD"/>
    <w:rsid w:val="00A159B3"/>
    <w:rsid w:val="00A15E59"/>
    <w:rsid w:val="00A179D8"/>
    <w:rsid w:val="00A20535"/>
    <w:rsid w:val="00A208A6"/>
    <w:rsid w:val="00A210F4"/>
    <w:rsid w:val="00A21877"/>
    <w:rsid w:val="00A219BA"/>
    <w:rsid w:val="00A23806"/>
    <w:rsid w:val="00A24AD3"/>
    <w:rsid w:val="00A25CE8"/>
    <w:rsid w:val="00A2676D"/>
    <w:rsid w:val="00A2677B"/>
    <w:rsid w:val="00A26E0F"/>
    <w:rsid w:val="00A26F4F"/>
    <w:rsid w:val="00A275FA"/>
    <w:rsid w:val="00A30C8E"/>
    <w:rsid w:val="00A316C7"/>
    <w:rsid w:val="00A32248"/>
    <w:rsid w:val="00A32B5A"/>
    <w:rsid w:val="00A346B3"/>
    <w:rsid w:val="00A354B6"/>
    <w:rsid w:val="00A36984"/>
    <w:rsid w:val="00A405EC"/>
    <w:rsid w:val="00A41F41"/>
    <w:rsid w:val="00A42B08"/>
    <w:rsid w:val="00A430A2"/>
    <w:rsid w:val="00A44259"/>
    <w:rsid w:val="00A44A8D"/>
    <w:rsid w:val="00A4538F"/>
    <w:rsid w:val="00A45511"/>
    <w:rsid w:val="00A45F6E"/>
    <w:rsid w:val="00A460AF"/>
    <w:rsid w:val="00A46ECF"/>
    <w:rsid w:val="00A47D2E"/>
    <w:rsid w:val="00A47D74"/>
    <w:rsid w:val="00A47E5E"/>
    <w:rsid w:val="00A50320"/>
    <w:rsid w:val="00A516F2"/>
    <w:rsid w:val="00A51748"/>
    <w:rsid w:val="00A52766"/>
    <w:rsid w:val="00A5276A"/>
    <w:rsid w:val="00A53095"/>
    <w:rsid w:val="00A533AE"/>
    <w:rsid w:val="00A53435"/>
    <w:rsid w:val="00A53D85"/>
    <w:rsid w:val="00A54A2B"/>
    <w:rsid w:val="00A560A5"/>
    <w:rsid w:val="00A56B3A"/>
    <w:rsid w:val="00A57065"/>
    <w:rsid w:val="00A61549"/>
    <w:rsid w:val="00A619F1"/>
    <w:rsid w:val="00A6217E"/>
    <w:rsid w:val="00A6224E"/>
    <w:rsid w:val="00A62D08"/>
    <w:rsid w:val="00A62D9C"/>
    <w:rsid w:val="00A6335A"/>
    <w:rsid w:val="00A634BA"/>
    <w:rsid w:val="00A635EC"/>
    <w:rsid w:val="00A6424F"/>
    <w:rsid w:val="00A64F38"/>
    <w:rsid w:val="00A66DB7"/>
    <w:rsid w:val="00A67283"/>
    <w:rsid w:val="00A7005E"/>
    <w:rsid w:val="00A70AA3"/>
    <w:rsid w:val="00A70BC2"/>
    <w:rsid w:val="00A70FDD"/>
    <w:rsid w:val="00A71215"/>
    <w:rsid w:val="00A72360"/>
    <w:rsid w:val="00A723D7"/>
    <w:rsid w:val="00A7383C"/>
    <w:rsid w:val="00A7425B"/>
    <w:rsid w:val="00A75A6E"/>
    <w:rsid w:val="00A775AA"/>
    <w:rsid w:val="00A77AA8"/>
    <w:rsid w:val="00A805ED"/>
    <w:rsid w:val="00A81343"/>
    <w:rsid w:val="00A8169A"/>
    <w:rsid w:val="00A82DD9"/>
    <w:rsid w:val="00A83B76"/>
    <w:rsid w:val="00A84269"/>
    <w:rsid w:val="00A853AC"/>
    <w:rsid w:val="00A85F63"/>
    <w:rsid w:val="00A8614E"/>
    <w:rsid w:val="00A8620F"/>
    <w:rsid w:val="00A86535"/>
    <w:rsid w:val="00A8666F"/>
    <w:rsid w:val="00A87149"/>
    <w:rsid w:val="00A9159C"/>
    <w:rsid w:val="00A91FF4"/>
    <w:rsid w:val="00A92AAA"/>
    <w:rsid w:val="00A92EAC"/>
    <w:rsid w:val="00A9331D"/>
    <w:rsid w:val="00A933C5"/>
    <w:rsid w:val="00A94B3E"/>
    <w:rsid w:val="00A95499"/>
    <w:rsid w:val="00A95586"/>
    <w:rsid w:val="00A956A6"/>
    <w:rsid w:val="00A9580B"/>
    <w:rsid w:val="00A960C7"/>
    <w:rsid w:val="00A9720D"/>
    <w:rsid w:val="00A97C6E"/>
    <w:rsid w:val="00AA052F"/>
    <w:rsid w:val="00AA0CA1"/>
    <w:rsid w:val="00AA0EE7"/>
    <w:rsid w:val="00AA139B"/>
    <w:rsid w:val="00AA167B"/>
    <w:rsid w:val="00AA1773"/>
    <w:rsid w:val="00AA2248"/>
    <w:rsid w:val="00AA228E"/>
    <w:rsid w:val="00AA2803"/>
    <w:rsid w:val="00AA2B3B"/>
    <w:rsid w:val="00AA2FE8"/>
    <w:rsid w:val="00AA3188"/>
    <w:rsid w:val="00AA3697"/>
    <w:rsid w:val="00AA4FE5"/>
    <w:rsid w:val="00AA50BC"/>
    <w:rsid w:val="00AA5A3F"/>
    <w:rsid w:val="00AA5C3F"/>
    <w:rsid w:val="00AA78D7"/>
    <w:rsid w:val="00AA79A8"/>
    <w:rsid w:val="00AA7AAD"/>
    <w:rsid w:val="00AB0407"/>
    <w:rsid w:val="00AB0B95"/>
    <w:rsid w:val="00AB12D9"/>
    <w:rsid w:val="00AB19E2"/>
    <w:rsid w:val="00AB4220"/>
    <w:rsid w:val="00AB6F53"/>
    <w:rsid w:val="00AC1854"/>
    <w:rsid w:val="00AC416D"/>
    <w:rsid w:val="00AC498B"/>
    <w:rsid w:val="00AC4B30"/>
    <w:rsid w:val="00AC4DC6"/>
    <w:rsid w:val="00AC5539"/>
    <w:rsid w:val="00AC5F42"/>
    <w:rsid w:val="00AC615C"/>
    <w:rsid w:val="00AC628B"/>
    <w:rsid w:val="00AC6C58"/>
    <w:rsid w:val="00AC6F0E"/>
    <w:rsid w:val="00AC7C7B"/>
    <w:rsid w:val="00AD04AF"/>
    <w:rsid w:val="00AD1898"/>
    <w:rsid w:val="00AD21CE"/>
    <w:rsid w:val="00AD2BA5"/>
    <w:rsid w:val="00AD2EC9"/>
    <w:rsid w:val="00AD2F75"/>
    <w:rsid w:val="00AD42B1"/>
    <w:rsid w:val="00AD44A0"/>
    <w:rsid w:val="00AD4736"/>
    <w:rsid w:val="00AD4C2B"/>
    <w:rsid w:val="00AD4EE4"/>
    <w:rsid w:val="00AD53DA"/>
    <w:rsid w:val="00AD5772"/>
    <w:rsid w:val="00AD5B0A"/>
    <w:rsid w:val="00AD7600"/>
    <w:rsid w:val="00AD7807"/>
    <w:rsid w:val="00AE03C2"/>
    <w:rsid w:val="00AE0645"/>
    <w:rsid w:val="00AE0BF7"/>
    <w:rsid w:val="00AE1BC5"/>
    <w:rsid w:val="00AE1E58"/>
    <w:rsid w:val="00AE22D6"/>
    <w:rsid w:val="00AE240A"/>
    <w:rsid w:val="00AE28B8"/>
    <w:rsid w:val="00AE362A"/>
    <w:rsid w:val="00AE391E"/>
    <w:rsid w:val="00AE4313"/>
    <w:rsid w:val="00AE464F"/>
    <w:rsid w:val="00AE4C0D"/>
    <w:rsid w:val="00AE5771"/>
    <w:rsid w:val="00AE6DAB"/>
    <w:rsid w:val="00AE7019"/>
    <w:rsid w:val="00AE75DE"/>
    <w:rsid w:val="00AE7654"/>
    <w:rsid w:val="00AE7720"/>
    <w:rsid w:val="00AE7F27"/>
    <w:rsid w:val="00AF01F5"/>
    <w:rsid w:val="00AF1248"/>
    <w:rsid w:val="00AF14FF"/>
    <w:rsid w:val="00AF1EDE"/>
    <w:rsid w:val="00AF3DA7"/>
    <w:rsid w:val="00AF3E65"/>
    <w:rsid w:val="00AF41F8"/>
    <w:rsid w:val="00AF4B67"/>
    <w:rsid w:val="00AF4F6A"/>
    <w:rsid w:val="00AF525E"/>
    <w:rsid w:val="00AF6C23"/>
    <w:rsid w:val="00AF7C74"/>
    <w:rsid w:val="00B001DA"/>
    <w:rsid w:val="00B00B76"/>
    <w:rsid w:val="00B00DC9"/>
    <w:rsid w:val="00B01333"/>
    <w:rsid w:val="00B02162"/>
    <w:rsid w:val="00B027CF"/>
    <w:rsid w:val="00B03070"/>
    <w:rsid w:val="00B033B8"/>
    <w:rsid w:val="00B056BE"/>
    <w:rsid w:val="00B059FC"/>
    <w:rsid w:val="00B05B6B"/>
    <w:rsid w:val="00B06BA2"/>
    <w:rsid w:val="00B06C41"/>
    <w:rsid w:val="00B06CA1"/>
    <w:rsid w:val="00B100FF"/>
    <w:rsid w:val="00B106FF"/>
    <w:rsid w:val="00B107B0"/>
    <w:rsid w:val="00B10C9A"/>
    <w:rsid w:val="00B10E24"/>
    <w:rsid w:val="00B10E80"/>
    <w:rsid w:val="00B1129A"/>
    <w:rsid w:val="00B120CE"/>
    <w:rsid w:val="00B12BE9"/>
    <w:rsid w:val="00B12E6D"/>
    <w:rsid w:val="00B13BA9"/>
    <w:rsid w:val="00B13C03"/>
    <w:rsid w:val="00B1419C"/>
    <w:rsid w:val="00B14EC2"/>
    <w:rsid w:val="00B15B6E"/>
    <w:rsid w:val="00B15C41"/>
    <w:rsid w:val="00B15F6C"/>
    <w:rsid w:val="00B17692"/>
    <w:rsid w:val="00B178AA"/>
    <w:rsid w:val="00B200D7"/>
    <w:rsid w:val="00B201B3"/>
    <w:rsid w:val="00B201E6"/>
    <w:rsid w:val="00B208E7"/>
    <w:rsid w:val="00B211A0"/>
    <w:rsid w:val="00B216FF"/>
    <w:rsid w:val="00B2211B"/>
    <w:rsid w:val="00B22469"/>
    <w:rsid w:val="00B225A3"/>
    <w:rsid w:val="00B238AB"/>
    <w:rsid w:val="00B23AFA"/>
    <w:rsid w:val="00B23DEC"/>
    <w:rsid w:val="00B242B4"/>
    <w:rsid w:val="00B247FD"/>
    <w:rsid w:val="00B26444"/>
    <w:rsid w:val="00B26C92"/>
    <w:rsid w:val="00B27425"/>
    <w:rsid w:val="00B302DB"/>
    <w:rsid w:val="00B30EBB"/>
    <w:rsid w:val="00B30F9E"/>
    <w:rsid w:val="00B318B8"/>
    <w:rsid w:val="00B3264C"/>
    <w:rsid w:val="00B32B18"/>
    <w:rsid w:val="00B32DC6"/>
    <w:rsid w:val="00B331CE"/>
    <w:rsid w:val="00B33878"/>
    <w:rsid w:val="00B33B74"/>
    <w:rsid w:val="00B33C43"/>
    <w:rsid w:val="00B34477"/>
    <w:rsid w:val="00B34A1E"/>
    <w:rsid w:val="00B34B65"/>
    <w:rsid w:val="00B35341"/>
    <w:rsid w:val="00B35B7F"/>
    <w:rsid w:val="00B366C2"/>
    <w:rsid w:val="00B36AF8"/>
    <w:rsid w:val="00B37106"/>
    <w:rsid w:val="00B3775A"/>
    <w:rsid w:val="00B37772"/>
    <w:rsid w:val="00B40785"/>
    <w:rsid w:val="00B40AD8"/>
    <w:rsid w:val="00B40BA9"/>
    <w:rsid w:val="00B40C57"/>
    <w:rsid w:val="00B40C97"/>
    <w:rsid w:val="00B40DC5"/>
    <w:rsid w:val="00B41672"/>
    <w:rsid w:val="00B41AC1"/>
    <w:rsid w:val="00B42099"/>
    <w:rsid w:val="00B42773"/>
    <w:rsid w:val="00B42E4D"/>
    <w:rsid w:val="00B43723"/>
    <w:rsid w:val="00B43A38"/>
    <w:rsid w:val="00B43C4B"/>
    <w:rsid w:val="00B43C4F"/>
    <w:rsid w:val="00B447CA"/>
    <w:rsid w:val="00B455D4"/>
    <w:rsid w:val="00B45907"/>
    <w:rsid w:val="00B46033"/>
    <w:rsid w:val="00B460A0"/>
    <w:rsid w:val="00B46DFA"/>
    <w:rsid w:val="00B4779C"/>
    <w:rsid w:val="00B47E55"/>
    <w:rsid w:val="00B50773"/>
    <w:rsid w:val="00B509B9"/>
    <w:rsid w:val="00B5149B"/>
    <w:rsid w:val="00B51C5B"/>
    <w:rsid w:val="00B544A1"/>
    <w:rsid w:val="00B55E59"/>
    <w:rsid w:val="00B5608E"/>
    <w:rsid w:val="00B561C8"/>
    <w:rsid w:val="00B569AA"/>
    <w:rsid w:val="00B57045"/>
    <w:rsid w:val="00B570A3"/>
    <w:rsid w:val="00B5753E"/>
    <w:rsid w:val="00B57C96"/>
    <w:rsid w:val="00B60200"/>
    <w:rsid w:val="00B60F19"/>
    <w:rsid w:val="00B61393"/>
    <w:rsid w:val="00B6184D"/>
    <w:rsid w:val="00B628F6"/>
    <w:rsid w:val="00B63C6F"/>
    <w:rsid w:val="00B63E9F"/>
    <w:rsid w:val="00B63EDE"/>
    <w:rsid w:val="00B64412"/>
    <w:rsid w:val="00B64A81"/>
    <w:rsid w:val="00B65425"/>
    <w:rsid w:val="00B6585C"/>
    <w:rsid w:val="00B65ECF"/>
    <w:rsid w:val="00B679B0"/>
    <w:rsid w:val="00B67CAB"/>
    <w:rsid w:val="00B702BE"/>
    <w:rsid w:val="00B70598"/>
    <w:rsid w:val="00B7066F"/>
    <w:rsid w:val="00B707D3"/>
    <w:rsid w:val="00B7186E"/>
    <w:rsid w:val="00B71C90"/>
    <w:rsid w:val="00B72435"/>
    <w:rsid w:val="00B7244D"/>
    <w:rsid w:val="00B72E36"/>
    <w:rsid w:val="00B73DD8"/>
    <w:rsid w:val="00B74923"/>
    <w:rsid w:val="00B758AF"/>
    <w:rsid w:val="00B76258"/>
    <w:rsid w:val="00B772C6"/>
    <w:rsid w:val="00B809D3"/>
    <w:rsid w:val="00B80C79"/>
    <w:rsid w:val="00B82FF0"/>
    <w:rsid w:val="00B83322"/>
    <w:rsid w:val="00B83355"/>
    <w:rsid w:val="00B83755"/>
    <w:rsid w:val="00B83A12"/>
    <w:rsid w:val="00B84A8C"/>
    <w:rsid w:val="00B84B1B"/>
    <w:rsid w:val="00B84C46"/>
    <w:rsid w:val="00B85046"/>
    <w:rsid w:val="00B862EF"/>
    <w:rsid w:val="00B864FB"/>
    <w:rsid w:val="00B86BC3"/>
    <w:rsid w:val="00B8797B"/>
    <w:rsid w:val="00B87A12"/>
    <w:rsid w:val="00B9017F"/>
    <w:rsid w:val="00B90D24"/>
    <w:rsid w:val="00B91856"/>
    <w:rsid w:val="00B91903"/>
    <w:rsid w:val="00B93834"/>
    <w:rsid w:val="00B93DCF"/>
    <w:rsid w:val="00B93E4B"/>
    <w:rsid w:val="00B943B6"/>
    <w:rsid w:val="00B94406"/>
    <w:rsid w:val="00B945AC"/>
    <w:rsid w:val="00B955BC"/>
    <w:rsid w:val="00B96A19"/>
    <w:rsid w:val="00B96C4C"/>
    <w:rsid w:val="00B9787C"/>
    <w:rsid w:val="00BA0168"/>
    <w:rsid w:val="00BA0940"/>
    <w:rsid w:val="00BA1353"/>
    <w:rsid w:val="00BA1D1B"/>
    <w:rsid w:val="00BA2791"/>
    <w:rsid w:val="00BA3159"/>
    <w:rsid w:val="00BA44D7"/>
    <w:rsid w:val="00BA5543"/>
    <w:rsid w:val="00BA57E3"/>
    <w:rsid w:val="00BA5BD0"/>
    <w:rsid w:val="00BA6422"/>
    <w:rsid w:val="00BA6433"/>
    <w:rsid w:val="00BA6744"/>
    <w:rsid w:val="00BA67F7"/>
    <w:rsid w:val="00BA692A"/>
    <w:rsid w:val="00BA6D58"/>
    <w:rsid w:val="00BA766C"/>
    <w:rsid w:val="00BB01B7"/>
    <w:rsid w:val="00BB0947"/>
    <w:rsid w:val="00BB11DD"/>
    <w:rsid w:val="00BB1C71"/>
    <w:rsid w:val="00BB23D0"/>
    <w:rsid w:val="00BB3035"/>
    <w:rsid w:val="00BB3401"/>
    <w:rsid w:val="00BB493E"/>
    <w:rsid w:val="00BB5026"/>
    <w:rsid w:val="00BB5465"/>
    <w:rsid w:val="00BB5696"/>
    <w:rsid w:val="00BB5817"/>
    <w:rsid w:val="00BB5C2C"/>
    <w:rsid w:val="00BB5C8D"/>
    <w:rsid w:val="00BB5DAB"/>
    <w:rsid w:val="00BB6DE7"/>
    <w:rsid w:val="00BB6EFF"/>
    <w:rsid w:val="00BB6F16"/>
    <w:rsid w:val="00BB722B"/>
    <w:rsid w:val="00BB7B63"/>
    <w:rsid w:val="00BC06F4"/>
    <w:rsid w:val="00BC0CEB"/>
    <w:rsid w:val="00BC0EC0"/>
    <w:rsid w:val="00BC201B"/>
    <w:rsid w:val="00BC2A96"/>
    <w:rsid w:val="00BC2D57"/>
    <w:rsid w:val="00BC2DF1"/>
    <w:rsid w:val="00BC3503"/>
    <w:rsid w:val="00BC3508"/>
    <w:rsid w:val="00BC50BA"/>
    <w:rsid w:val="00BC5261"/>
    <w:rsid w:val="00BC55F5"/>
    <w:rsid w:val="00BC67FD"/>
    <w:rsid w:val="00BC746D"/>
    <w:rsid w:val="00BD0157"/>
    <w:rsid w:val="00BD03C2"/>
    <w:rsid w:val="00BD0402"/>
    <w:rsid w:val="00BD284C"/>
    <w:rsid w:val="00BD32B6"/>
    <w:rsid w:val="00BD440C"/>
    <w:rsid w:val="00BD490C"/>
    <w:rsid w:val="00BD4F88"/>
    <w:rsid w:val="00BD630E"/>
    <w:rsid w:val="00BD7752"/>
    <w:rsid w:val="00BD78BB"/>
    <w:rsid w:val="00BE016B"/>
    <w:rsid w:val="00BE017F"/>
    <w:rsid w:val="00BE046A"/>
    <w:rsid w:val="00BE0F2D"/>
    <w:rsid w:val="00BE0FD7"/>
    <w:rsid w:val="00BE16E5"/>
    <w:rsid w:val="00BE1A36"/>
    <w:rsid w:val="00BE1C0C"/>
    <w:rsid w:val="00BE244B"/>
    <w:rsid w:val="00BE2523"/>
    <w:rsid w:val="00BE2529"/>
    <w:rsid w:val="00BE48D1"/>
    <w:rsid w:val="00BE50B0"/>
    <w:rsid w:val="00BE5AE1"/>
    <w:rsid w:val="00BE5D0A"/>
    <w:rsid w:val="00BE6202"/>
    <w:rsid w:val="00BE622A"/>
    <w:rsid w:val="00BE6AA3"/>
    <w:rsid w:val="00BE6F84"/>
    <w:rsid w:val="00BE765F"/>
    <w:rsid w:val="00BE79E1"/>
    <w:rsid w:val="00BF185B"/>
    <w:rsid w:val="00BF1C19"/>
    <w:rsid w:val="00BF35E4"/>
    <w:rsid w:val="00BF3875"/>
    <w:rsid w:val="00BF3F28"/>
    <w:rsid w:val="00BF4226"/>
    <w:rsid w:val="00BF449C"/>
    <w:rsid w:val="00BF44E0"/>
    <w:rsid w:val="00BF5253"/>
    <w:rsid w:val="00BF62E5"/>
    <w:rsid w:val="00BF6CC2"/>
    <w:rsid w:val="00BF6DFC"/>
    <w:rsid w:val="00BF6FE7"/>
    <w:rsid w:val="00BF7060"/>
    <w:rsid w:val="00BF785F"/>
    <w:rsid w:val="00C009D6"/>
    <w:rsid w:val="00C00CA3"/>
    <w:rsid w:val="00C00F39"/>
    <w:rsid w:val="00C01269"/>
    <w:rsid w:val="00C01543"/>
    <w:rsid w:val="00C01FBD"/>
    <w:rsid w:val="00C025F3"/>
    <w:rsid w:val="00C03101"/>
    <w:rsid w:val="00C03D79"/>
    <w:rsid w:val="00C04799"/>
    <w:rsid w:val="00C05344"/>
    <w:rsid w:val="00C054F9"/>
    <w:rsid w:val="00C05746"/>
    <w:rsid w:val="00C05A81"/>
    <w:rsid w:val="00C05AAF"/>
    <w:rsid w:val="00C05ABB"/>
    <w:rsid w:val="00C067E9"/>
    <w:rsid w:val="00C06B00"/>
    <w:rsid w:val="00C07ED5"/>
    <w:rsid w:val="00C10347"/>
    <w:rsid w:val="00C115CC"/>
    <w:rsid w:val="00C127B2"/>
    <w:rsid w:val="00C129FB"/>
    <w:rsid w:val="00C12BE0"/>
    <w:rsid w:val="00C13175"/>
    <w:rsid w:val="00C135B5"/>
    <w:rsid w:val="00C15618"/>
    <w:rsid w:val="00C15EF6"/>
    <w:rsid w:val="00C168FC"/>
    <w:rsid w:val="00C16956"/>
    <w:rsid w:val="00C169D5"/>
    <w:rsid w:val="00C1740A"/>
    <w:rsid w:val="00C1770B"/>
    <w:rsid w:val="00C20805"/>
    <w:rsid w:val="00C211B3"/>
    <w:rsid w:val="00C22D16"/>
    <w:rsid w:val="00C236B0"/>
    <w:rsid w:val="00C2406A"/>
    <w:rsid w:val="00C2471A"/>
    <w:rsid w:val="00C24ABB"/>
    <w:rsid w:val="00C25AE8"/>
    <w:rsid w:val="00C25CF8"/>
    <w:rsid w:val="00C25F7D"/>
    <w:rsid w:val="00C265CE"/>
    <w:rsid w:val="00C27014"/>
    <w:rsid w:val="00C272AE"/>
    <w:rsid w:val="00C273F3"/>
    <w:rsid w:val="00C27BB0"/>
    <w:rsid w:val="00C314DF"/>
    <w:rsid w:val="00C31A3D"/>
    <w:rsid w:val="00C33A7D"/>
    <w:rsid w:val="00C34142"/>
    <w:rsid w:val="00C34198"/>
    <w:rsid w:val="00C34633"/>
    <w:rsid w:val="00C34D6B"/>
    <w:rsid w:val="00C34E91"/>
    <w:rsid w:val="00C36D7C"/>
    <w:rsid w:val="00C36F27"/>
    <w:rsid w:val="00C37A6E"/>
    <w:rsid w:val="00C37F0F"/>
    <w:rsid w:val="00C408AB"/>
    <w:rsid w:val="00C40B0D"/>
    <w:rsid w:val="00C40D6A"/>
    <w:rsid w:val="00C410DA"/>
    <w:rsid w:val="00C41282"/>
    <w:rsid w:val="00C414CC"/>
    <w:rsid w:val="00C41C18"/>
    <w:rsid w:val="00C4235A"/>
    <w:rsid w:val="00C43451"/>
    <w:rsid w:val="00C43923"/>
    <w:rsid w:val="00C43B58"/>
    <w:rsid w:val="00C43C21"/>
    <w:rsid w:val="00C43EB1"/>
    <w:rsid w:val="00C441DB"/>
    <w:rsid w:val="00C44CF7"/>
    <w:rsid w:val="00C46F31"/>
    <w:rsid w:val="00C46FC5"/>
    <w:rsid w:val="00C4754A"/>
    <w:rsid w:val="00C47AEA"/>
    <w:rsid w:val="00C47BF9"/>
    <w:rsid w:val="00C47FE3"/>
    <w:rsid w:val="00C5000B"/>
    <w:rsid w:val="00C5054A"/>
    <w:rsid w:val="00C5062A"/>
    <w:rsid w:val="00C50974"/>
    <w:rsid w:val="00C50A4F"/>
    <w:rsid w:val="00C50EF2"/>
    <w:rsid w:val="00C51234"/>
    <w:rsid w:val="00C52D04"/>
    <w:rsid w:val="00C52D2A"/>
    <w:rsid w:val="00C52D45"/>
    <w:rsid w:val="00C536CE"/>
    <w:rsid w:val="00C553F0"/>
    <w:rsid w:val="00C5613D"/>
    <w:rsid w:val="00C5617A"/>
    <w:rsid w:val="00C56F5C"/>
    <w:rsid w:val="00C578BF"/>
    <w:rsid w:val="00C6009E"/>
    <w:rsid w:val="00C60151"/>
    <w:rsid w:val="00C60744"/>
    <w:rsid w:val="00C610FA"/>
    <w:rsid w:val="00C61871"/>
    <w:rsid w:val="00C622E2"/>
    <w:rsid w:val="00C643FE"/>
    <w:rsid w:val="00C645EE"/>
    <w:rsid w:val="00C649EF"/>
    <w:rsid w:val="00C65255"/>
    <w:rsid w:val="00C654EF"/>
    <w:rsid w:val="00C656E1"/>
    <w:rsid w:val="00C66730"/>
    <w:rsid w:val="00C66A0F"/>
    <w:rsid w:val="00C66AE1"/>
    <w:rsid w:val="00C674B2"/>
    <w:rsid w:val="00C67ABD"/>
    <w:rsid w:val="00C67D69"/>
    <w:rsid w:val="00C70259"/>
    <w:rsid w:val="00C71039"/>
    <w:rsid w:val="00C71E0C"/>
    <w:rsid w:val="00C73D38"/>
    <w:rsid w:val="00C74459"/>
    <w:rsid w:val="00C74FDB"/>
    <w:rsid w:val="00C75111"/>
    <w:rsid w:val="00C75D07"/>
    <w:rsid w:val="00C76144"/>
    <w:rsid w:val="00C77096"/>
    <w:rsid w:val="00C773F4"/>
    <w:rsid w:val="00C77A4C"/>
    <w:rsid w:val="00C77FFA"/>
    <w:rsid w:val="00C80912"/>
    <w:rsid w:val="00C82243"/>
    <w:rsid w:val="00C82491"/>
    <w:rsid w:val="00C824B2"/>
    <w:rsid w:val="00C828F3"/>
    <w:rsid w:val="00C82D75"/>
    <w:rsid w:val="00C836B1"/>
    <w:rsid w:val="00C83847"/>
    <w:rsid w:val="00C83ED2"/>
    <w:rsid w:val="00C8405C"/>
    <w:rsid w:val="00C840F3"/>
    <w:rsid w:val="00C862F7"/>
    <w:rsid w:val="00C8697D"/>
    <w:rsid w:val="00C86E0F"/>
    <w:rsid w:val="00C86FFB"/>
    <w:rsid w:val="00C87BE3"/>
    <w:rsid w:val="00C901F8"/>
    <w:rsid w:val="00C902DB"/>
    <w:rsid w:val="00C90675"/>
    <w:rsid w:val="00C91842"/>
    <w:rsid w:val="00C923BD"/>
    <w:rsid w:val="00C92628"/>
    <w:rsid w:val="00C92C24"/>
    <w:rsid w:val="00C942B6"/>
    <w:rsid w:val="00C9507D"/>
    <w:rsid w:val="00C9566A"/>
    <w:rsid w:val="00C95819"/>
    <w:rsid w:val="00C9679C"/>
    <w:rsid w:val="00C969FD"/>
    <w:rsid w:val="00C9742D"/>
    <w:rsid w:val="00C975B8"/>
    <w:rsid w:val="00CA125B"/>
    <w:rsid w:val="00CA2429"/>
    <w:rsid w:val="00CA2467"/>
    <w:rsid w:val="00CA2B1E"/>
    <w:rsid w:val="00CA2B2D"/>
    <w:rsid w:val="00CA3213"/>
    <w:rsid w:val="00CA3688"/>
    <w:rsid w:val="00CA4D5D"/>
    <w:rsid w:val="00CA558E"/>
    <w:rsid w:val="00CA5721"/>
    <w:rsid w:val="00CA5830"/>
    <w:rsid w:val="00CA58A0"/>
    <w:rsid w:val="00CA711B"/>
    <w:rsid w:val="00CA72C7"/>
    <w:rsid w:val="00CA75AC"/>
    <w:rsid w:val="00CA7E58"/>
    <w:rsid w:val="00CB02C2"/>
    <w:rsid w:val="00CB04BD"/>
    <w:rsid w:val="00CB0B96"/>
    <w:rsid w:val="00CB1215"/>
    <w:rsid w:val="00CB1C53"/>
    <w:rsid w:val="00CB2380"/>
    <w:rsid w:val="00CB2D71"/>
    <w:rsid w:val="00CB458E"/>
    <w:rsid w:val="00CB48AC"/>
    <w:rsid w:val="00CB4DB8"/>
    <w:rsid w:val="00CB5B82"/>
    <w:rsid w:val="00CB61E4"/>
    <w:rsid w:val="00CB6AD1"/>
    <w:rsid w:val="00CC0614"/>
    <w:rsid w:val="00CC0D32"/>
    <w:rsid w:val="00CC0E29"/>
    <w:rsid w:val="00CC1F2B"/>
    <w:rsid w:val="00CC21E3"/>
    <w:rsid w:val="00CC2664"/>
    <w:rsid w:val="00CC28DB"/>
    <w:rsid w:val="00CC3119"/>
    <w:rsid w:val="00CC3A38"/>
    <w:rsid w:val="00CC408F"/>
    <w:rsid w:val="00CC447F"/>
    <w:rsid w:val="00CC4485"/>
    <w:rsid w:val="00CC58C5"/>
    <w:rsid w:val="00CC6578"/>
    <w:rsid w:val="00CC6660"/>
    <w:rsid w:val="00CC69FD"/>
    <w:rsid w:val="00CC754C"/>
    <w:rsid w:val="00CC7B1A"/>
    <w:rsid w:val="00CD093B"/>
    <w:rsid w:val="00CD1ED4"/>
    <w:rsid w:val="00CD2BE3"/>
    <w:rsid w:val="00CD2C60"/>
    <w:rsid w:val="00CD2FC0"/>
    <w:rsid w:val="00CD3286"/>
    <w:rsid w:val="00CD33ED"/>
    <w:rsid w:val="00CD452E"/>
    <w:rsid w:val="00CD6B71"/>
    <w:rsid w:val="00CD7A29"/>
    <w:rsid w:val="00CD7D1C"/>
    <w:rsid w:val="00CD7D52"/>
    <w:rsid w:val="00CE14B9"/>
    <w:rsid w:val="00CE1A22"/>
    <w:rsid w:val="00CE2845"/>
    <w:rsid w:val="00CE2A09"/>
    <w:rsid w:val="00CE4288"/>
    <w:rsid w:val="00CE5D69"/>
    <w:rsid w:val="00CE6E73"/>
    <w:rsid w:val="00CE6EC0"/>
    <w:rsid w:val="00CE762B"/>
    <w:rsid w:val="00CF1452"/>
    <w:rsid w:val="00CF1464"/>
    <w:rsid w:val="00CF18D2"/>
    <w:rsid w:val="00CF1B0C"/>
    <w:rsid w:val="00CF2904"/>
    <w:rsid w:val="00CF2EEA"/>
    <w:rsid w:val="00CF3E9E"/>
    <w:rsid w:val="00CF3F58"/>
    <w:rsid w:val="00CF4817"/>
    <w:rsid w:val="00CF4AB0"/>
    <w:rsid w:val="00CF577B"/>
    <w:rsid w:val="00CF60E9"/>
    <w:rsid w:val="00CF6159"/>
    <w:rsid w:val="00CF621D"/>
    <w:rsid w:val="00CF6588"/>
    <w:rsid w:val="00CF6AC4"/>
    <w:rsid w:val="00CF6FFD"/>
    <w:rsid w:val="00CF7591"/>
    <w:rsid w:val="00CF7AB1"/>
    <w:rsid w:val="00D01522"/>
    <w:rsid w:val="00D017FB"/>
    <w:rsid w:val="00D018D7"/>
    <w:rsid w:val="00D02785"/>
    <w:rsid w:val="00D036D9"/>
    <w:rsid w:val="00D04F97"/>
    <w:rsid w:val="00D05140"/>
    <w:rsid w:val="00D0530A"/>
    <w:rsid w:val="00D065E1"/>
    <w:rsid w:val="00D06D07"/>
    <w:rsid w:val="00D07953"/>
    <w:rsid w:val="00D07B1C"/>
    <w:rsid w:val="00D11DA6"/>
    <w:rsid w:val="00D13334"/>
    <w:rsid w:val="00D13411"/>
    <w:rsid w:val="00D13A66"/>
    <w:rsid w:val="00D15440"/>
    <w:rsid w:val="00D15A02"/>
    <w:rsid w:val="00D15C4C"/>
    <w:rsid w:val="00D15D89"/>
    <w:rsid w:val="00D16C72"/>
    <w:rsid w:val="00D16FD3"/>
    <w:rsid w:val="00D17058"/>
    <w:rsid w:val="00D2013D"/>
    <w:rsid w:val="00D20A07"/>
    <w:rsid w:val="00D21282"/>
    <w:rsid w:val="00D2277C"/>
    <w:rsid w:val="00D24747"/>
    <w:rsid w:val="00D248E4"/>
    <w:rsid w:val="00D24B22"/>
    <w:rsid w:val="00D24C53"/>
    <w:rsid w:val="00D25319"/>
    <w:rsid w:val="00D25C21"/>
    <w:rsid w:val="00D25C6A"/>
    <w:rsid w:val="00D25F93"/>
    <w:rsid w:val="00D25FB6"/>
    <w:rsid w:val="00D2697A"/>
    <w:rsid w:val="00D306B4"/>
    <w:rsid w:val="00D30769"/>
    <w:rsid w:val="00D3320F"/>
    <w:rsid w:val="00D35B06"/>
    <w:rsid w:val="00D3666D"/>
    <w:rsid w:val="00D3673B"/>
    <w:rsid w:val="00D3718A"/>
    <w:rsid w:val="00D37470"/>
    <w:rsid w:val="00D37F2D"/>
    <w:rsid w:val="00D402E4"/>
    <w:rsid w:val="00D42D73"/>
    <w:rsid w:val="00D433B1"/>
    <w:rsid w:val="00D4348C"/>
    <w:rsid w:val="00D445AB"/>
    <w:rsid w:val="00D4508C"/>
    <w:rsid w:val="00D45EBB"/>
    <w:rsid w:val="00D4626D"/>
    <w:rsid w:val="00D5000A"/>
    <w:rsid w:val="00D508B3"/>
    <w:rsid w:val="00D50951"/>
    <w:rsid w:val="00D50A07"/>
    <w:rsid w:val="00D50B83"/>
    <w:rsid w:val="00D512E1"/>
    <w:rsid w:val="00D518B7"/>
    <w:rsid w:val="00D518F1"/>
    <w:rsid w:val="00D51BF0"/>
    <w:rsid w:val="00D51DEC"/>
    <w:rsid w:val="00D52061"/>
    <w:rsid w:val="00D530E2"/>
    <w:rsid w:val="00D5359A"/>
    <w:rsid w:val="00D545D9"/>
    <w:rsid w:val="00D5477B"/>
    <w:rsid w:val="00D54BC3"/>
    <w:rsid w:val="00D54D5B"/>
    <w:rsid w:val="00D55025"/>
    <w:rsid w:val="00D5583D"/>
    <w:rsid w:val="00D558DF"/>
    <w:rsid w:val="00D566D5"/>
    <w:rsid w:val="00D56F76"/>
    <w:rsid w:val="00D57B8E"/>
    <w:rsid w:val="00D60467"/>
    <w:rsid w:val="00D62394"/>
    <w:rsid w:val="00D62395"/>
    <w:rsid w:val="00D62C06"/>
    <w:rsid w:val="00D62F75"/>
    <w:rsid w:val="00D635A5"/>
    <w:rsid w:val="00D6420B"/>
    <w:rsid w:val="00D65531"/>
    <w:rsid w:val="00D65692"/>
    <w:rsid w:val="00D6569B"/>
    <w:rsid w:val="00D65FC8"/>
    <w:rsid w:val="00D66D8C"/>
    <w:rsid w:val="00D670E9"/>
    <w:rsid w:val="00D673C0"/>
    <w:rsid w:val="00D67A19"/>
    <w:rsid w:val="00D67CA8"/>
    <w:rsid w:val="00D70108"/>
    <w:rsid w:val="00D72148"/>
    <w:rsid w:val="00D727A6"/>
    <w:rsid w:val="00D72DCE"/>
    <w:rsid w:val="00D72F2E"/>
    <w:rsid w:val="00D73116"/>
    <w:rsid w:val="00D735FB"/>
    <w:rsid w:val="00D74CCD"/>
    <w:rsid w:val="00D74F6E"/>
    <w:rsid w:val="00D75A6D"/>
    <w:rsid w:val="00D75C34"/>
    <w:rsid w:val="00D76E3A"/>
    <w:rsid w:val="00D76E9D"/>
    <w:rsid w:val="00D77923"/>
    <w:rsid w:val="00D77A44"/>
    <w:rsid w:val="00D8024D"/>
    <w:rsid w:val="00D802DD"/>
    <w:rsid w:val="00D80C81"/>
    <w:rsid w:val="00D81698"/>
    <w:rsid w:val="00D83945"/>
    <w:rsid w:val="00D83FC7"/>
    <w:rsid w:val="00D8419F"/>
    <w:rsid w:val="00D858F9"/>
    <w:rsid w:val="00D85F72"/>
    <w:rsid w:val="00D86C85"/>
    <w:rsid w:val="00D87914"/>
    <w:rsid w:val="00D902C0"/>
    <w:rsid w:val="00D913B0"/>
    <w:rsid w:val="00D914CB"/>
    <w:rsid w:val="00D92106"/>
    <w:rsid w:val="00D92AD9"/>
    <w:rsid w:val="00D9318B"/>
    <w:rsid w:val="00D9341F"/>
    <w:rsid w:val="00D94C15"/>
    <w:rsid w:val="00D952C2"/>
    <w:rsid w:val="00D95743"/>
    <w:rsid w:val="00D95786"/>
    <w:rsid w:val="00D95F2C"/>
    <w:rsid w:val="00DA01C1"/>
    <w:rsid w:val="00DA07BF"/>
    <w:rsid w:val="00DA144E"/>
    <w:rsid w:val="00DA1C2D"/>
    <w:rsid w:val="00DA215E"/>
    <w:rsid w:val="00DA2179"/>
    <w:rsid w:val="00DA30D5"/>
    <w:rsid w:val="00DA4DCD"/>
    <w:rsid w:val="00DA6A57"/>
    <w:rsid w:val="00DA6F75"/>
    <w:rsid w:val="00DA7DE6"/>
    <w:rsid w:val="00DB0E2B"/>
    <w:rsid w:val="00DB1165"/>
    <w:rsid w:val="00DB162F"/>
    <w:rsid w:val="00DB1A4C"/>
    <w:rsid w:val="00DB3421"/>
    <w:rsid w:val="00DB34D3"/>
    <w:rsid w:val="00DB399B"/>
    <w:rsid w:val="00DB3A1B"/>
    <w:rsid w:val="00DB3C46"/>
    <w:rsid w:val="00DB3CA3"/>
    <w:rsid w:val="00DB43E5"/>
    <w:rsid w:val="00DB4BB7"/>
    <w:rsid w:val="00DB5A4D"/>
    <w:rsid w:val="00DB6000"/>
    <w:rsid w:val="00DB621E"/>
    <w:rsid w:val="00DB7FCA"/>
    <w:rsid w:val="00DC0F57"/>
    <w:rsid w:val="00DC1013"/>
    <w:rsid w:val="00DC2472"/>
    <w:rsid w:val="00DC25F3"/>
    <w:rsid w:val="00DC354A"/>
    <w:rsid w:val="00DC3CA0"/>
    <w:rsid w:val="00DC495C"/>
    <w:rsid w:val="00DC5AAD"/>
    <w:rsid w:val="00DC6FC3"/>
    <w:rsid w:val="00DC70D4"/>
    <w:rsid w:val="00DC73DB"/>
    <w:rsid w:val="00DD00E2"/>
    <w:rsid w:val="00DD01CD"/>
    <w:rsid w:val="00DD0A3D"/>
    <w:rsid w:val="00DD0ADE"/>
    <w:rsid w:val="00DD0B5C"/>
    <w:rsid w:val="00DD0DDB"/>
    <w:rsid w:val="00DD196F"/>
    <w:rsid w:val="00DD1C13"/>
    <w:rsid w:val="00DD2D5F"/>
    <w:rsid w:val="00DD402A"/>
    <w:rsid w:val="00DD46C0"/>
    <w:rsid w:val="00DD5F80"/>
    <w:rsid w:val="00DD66AB"/>
    <w:rsid w:val="00DD677B"/>
    <w:rsid w:val="00DD6AFD"/>
    <w:rsid w:val="00DD6E39"/>
    <w:rsid w:val="00DD7F4B"/>
    <w:rsid w:val="00DE0437"/>
    <w:rsid w:val="00DE0FEA"/>
    <w:rsid w:val="00DE21B5"/>
    <w:rsid w:val="00DE21E4"/>
    <w:rsid w:val="00DE29FE"/>
    <w:rsid w:val="00DE3506"/>
    <w:rsid w:val="00DE3D77"/>
    <w:rsid w:val="00DE4BD5"/>
    <w:rsid w:val="00DE4F61"/>
    <w:rsid w:val="00DE55DE"/>
    <w:rsid w:val="00DE5775"/>
    <w:rsid w:val="00DE58C1"/>
    <w:rsid w:val="00DF1D4F"/>
    <w:rsid w:val="00DF453C"/>
    <w:rsid w:val="00DF4669"/>
    <w:rsid w:val="00DF4DD3"/>
    <w:rsid w:val="00DF60E3"/>
    <w:rsid w:val="00DF6A75"/>
    <w:rsid w:val="00DF6AB5"/>
    <w:rsid w:val="00DF7D4E"/>
    <w:rsid w:val="00E00248"/>
    <w:rsid w:val="00E00D3A"/>
    <w:rsid w:val="00E019E1"/>
    <w:rsid w:val="00E01F36"/>
    <w:rsid w:val="00E02CF5"/>
    <w:rsid w:val="00E03294"/>
    <w:rsid w:val="00E03E66"/>
    <w:rsid w:val="00E0613E"/>
    <w:rsid w:val="00E0657C"/>
    <w:rsid w:val="00E06612"/>
    <w:rsid w:val="00E072E2"/>
    <w:rsid w:val="00E10021"/>
    <w:rsid w:val="00E10BDF"/>
    <w:rsid w:val="00E112D2"/>
    <w:rsid w:val="00E1248B"/>
    <w:rsid w:val="00E12E26"/>
    <w:rsid w:val="00E132D3"/>
    <w:rsid w:val="00E1413F"/>
    <w:rsid w:val="00E1455A"/>
    <w:rsid w:val="00E147F4"/>
    <w:rsid w:val="00E14AC1"/>
    <w:rsid w:val="00E14B3A"/>
    <w:rsid w:val="00E14D3C"/>
    <w:rsid w:val="00E1507B"/>
    <w:rsid w:val="00E16EF0"/>
    <w:rsid w:val="00E16F6F"/>
    <w:rsid w:val="00E16FFF"/>
    <w:rsid w:val="00E209AC"/>
    <w:rsid w:val="00E20DF2"/>
    <w:rsid w:val="00E2205B"/>
    <w:rsid w:val="00E22322"/>
    <w:rsid w:val="00E2281E"/>
    <w:rsid w:val="00E22F2B"/>
    <w:rsid w:val="00E235AE"/>
    <w:rsid w:val="00E23BA8"/>
    <w:rsid w:val="00E24F07"/>
    <w:rsid w:val="00E25765"/>
    <w:rsid w:val="00E25FC0"/>
    <w:rsid w:val="00E274DE"/>
    <w:rsid w:val="00E27A9F"/>
    <w:rsid w:val="00E3016F"/>
    <w:rsid w:val="00E3068C"/>
    <w:rsid w:val="00E306B8"/>
    <w:rsid w:val="00E30A56"/>
    <w:rsid w:val="00E30BD9"/>
    <w:rsid w:val="00E3198B"/>
    <w:rsid w:val="00E31E70"/>
    <w:rsid w:val="00E340AE"/>
    <w:rsid w:val="00E34235"/>
    <w:rsid w:val="00E35050"/>
    <w:rsid w:val="00E352CB"/>
    <w:rsid w:val="00E37303"/>
    <w:rsid w:val="00E37444"/>
    <w:rsid w:val="00E37533"/>
    <w:rsid w:val="00E37609"/>
    <w:rsid w:val="00E37BD4"/>
    <w:rsid w:val="00E37D6A"/>
    <w:rsid w:val="00E37DFC"/>
    <w:rsid w:val="00E40424"/>
    <w:rsid w:val="00E40EDB"/>
    <w:rsid w:val="00E41185"/>
    <w:rsid w:val="00E4163D"/>
    <w:rsid w:val="00E4217A"/>
    <w:rsid w:val="00E423C8"/>
    <w:rsid w:val="00E42546"/>
    <w:rsid w:val="00E435D4"/>
    <w:rsid w:val="00E43F7A"/>
    <w:rsid w:val="00E45878"/>
    <w:rsid w:val="00E4628C"/>
    <w:rsid w:val="00E474F2"/>
    <w:rsid w:val="00E5000A"/>
    <w:rsid w:val="00E50BD7"/>
    <w:rsid w:val="00E50E38"/>
    <w:rsid w:val="00E52EEC"/>
    <w:rsid w:val="00E546B2"/>
    <w:rsid w:val="00E55F41"/>
    <w:rsid w:val="00E57523"/>
    <w:rsid w:val="00E6056E"/>
    <w:rsid w:val="00E61D6D"/>
    <w:rsid w:val="00E620F6"/>
    <w:rsid w:val="00E621E8"/>
    <w:rsid w:val="00E62596"/>
    <w:rsid w:val="00E6277E"/>
    <w:rsid w:val="00E635D6"/>
    <w:rsid w:val="00E641F2"/>
    <w:rsid w:val="00E65221"/>
    <w:rsid w:val="00E656C4"/>
    <w:rsid w:val="00E65C79"/>
    <w:rsid w:val="00E65E11"/>
    <w:rsid w:val="00E66154"/>
    <w:rsid w:val="00E66E44"/>
    <w:rsid w:val="00E6761A"/>
    <w:rsid w:val="00E67F34"/>
    <w:rsid w:val="00E712F7"/>
    <w:rsid w:val="00E71951"/>
    <w:rsid w:val="00E71A71"/>
    <w:rsid w:val="00E71B73"/>
    <w:rsid w:val="00E7299B"/>
    <w:rsid w:val="00E735D6"/>
    <w:rsid w:val="00E7363B"/>
    <w:rsid w:val="00E74651"/>
    <w:rsid w:val="00E748D9"/>
    <w:rsid w:val="00E74F14"/>
    <w:rsid w:val="00E75917"/>
    <w:rsid w:val="00E7611A"/>
    <w:rsid w:val="00E76C9B"/>
    <w:rsid w:val="00E77447"/>
    <w:rsid w:val="00E77515"/>
    <w:rsid w:val="00E80ADE"/>
    <w:rsid w:val="00E80D88"/>
    <w:rsid w:val="00E81682"/>
    <w:rsid w:val="00E822E7"/>
    <w:rsid w:val="00E82399"/>
    <w:rsid w:val="00E8336E"/>
    <w:rsid w:val="00E8341D"/>
    <w:rsid w:val="00E83AA8"/>
    <w:rsid w:val="00E843A0"/>
    <w:rsid w:val="00E848BB"/>
    <w:rsid w:val="00E850FC"/>
    <w:rsid w:val="00E85ACE"/>
    <w:rsid w:val="00E85C03"/>
    <w:rsid w:val="00E866F9"/>
    <w:rsid w:val="00E86DBA"/>
    <w:rsid w:val="00E87595"/>
    <w:rsid w:val="00E87C9E"/>
    <w:rsid w:val="00E91567"/>
    <w:rsid w:val="00E91953"/>
    <w:rsid w:val="00E91C86"/>
    <w:rsid w:val="00E932A8"/>
    <w:rsid w:val="00E93FF5"/>
    <w:rsid w:val="00E94673"/>
    <w:rsid w:val="00E9478F"/>
    <w:rsid w:val="00E9599B"/>
    <w:rsid w:val="00E964D1"/>
    <w:rsid w:val="00E96C9C"/>
    <w:rsid w:val="00E9725B"/>
    <w:rsid w:val="00E97390"/>
    <w:rsid w:val="00EA0036"/>
    <w:rsid w:val="00EA07D6"/>
    <w:rsid w:val="00EA08E2"/>
    <w:rsid w:val="00EA12DF"/>
    <w:rsid w:val="00EA16B3"/>
    <w:rsid w:val="00EA1BF6"/>
    <w:rsid w:val="00EA2DA3"/>
    <w:rsid w:val="00EA362E"/>
    <w:rsid w:val="00EA36B9"/>
    <w:rsid w:val="00EA49D9"/>
    <w:rsid w:val="00EA4BE6"/>
    <w:rsid w:val="00EA537C"/>
    <w:rsid w:val="00EA58E3"/>
    <w:rsid w:val="00EA5943"/>
    <w:rsid w:val="00EA5948"/>
    <w:rsid w:val="00EA59D7"/>
    <w:rsid w:val="00EA6AAC"/>
    <w:rsid w:val="00EA6E4C"/>
    <w:rsid w:val="00EA7A61"/>
    <w:rsid w:val="00EB02B4"/>
    <w:rsid w:val="00EB0EA4"/>
    <w:rsid w:val="00EB154C"/>
    <w:rsid w:val="00EB156E"/>
    <w:rsid w:val="00EB1E5C"/>
    <w:rsid w:val="00EB25B9"/>
    <w:rsid w:val="00EB33F1"/>
    <w:rsid w:val="00EB357B"/>
    <w:rsid w:val="00EB37D7"/>
    <w:rsid w:val="00EB44F6"/>
    <w:rsid w:val="00EB45DD"/>
    <w:rsid w:val="00EB5A84"/>
    <w:rsid w:val="00EB64D4"/>
    <w:rsid w:val="00EB71AA"/>
    <w:rsid w:val="00EC01FC"/>
    <w:rsid w:val="00EC10EF"/>
    <w:rsid w:val="00EC13CF"/>
    <w:rsid w:val="00EC143C"/>
    <w:rsid w:val="00EC1AC1"/>
    <w:rsid w:val="00EC22E7"/>
    <w:rsid w:val="00EC289C"/>
    <w:rsid w:val="00EC2AC8"/>
    <w:rsid w:val="00EC36EC"/>
    <w:rsid w:val="00EC3793"/>
    <w:rsid w:val="00EC54CD"/>
    <w:rsid w:val="00EC6631"/>
    <w:rsid w:val="00EC6685"/>
    <w:rsid w:val="00ED0700"/>
    <w:rsid w:val="00ED0D8E"/>
    <w:rsid w:val="00ED127B"/>
    <w:rsid w:val="00ED16E2"/>
    <w:rsid w:val="00ED1CD6"/>
    <w:rsid w:val="00ED27BD"/>
    <w:rsid w:val="00ED3DFE"/>
    <w:rsid w:val="00ED421B"/>
    <w:rsid w:val="00ED4FB3"/>
    <w:rsid w:val="00ED50B6"/>
    <w:rsid w:val="00ED5194"/>
    <w:rsid w:val="00ED5696"/>
    <w:rsid w:val="00ED5765"/>
    <w:rsid w:val="00ED5780"/>
    <w:rsid w:val="00ED5F5F"/>
    <w:rsid w:val="00ED5F86"/>
    <w:rsid w:val="00ED6870"/>
    <w:rsid w:val="00ED6C7D"/>
    <w:rsid w:val="00EE039D"/>
    <w:rsid w:val="00EE0CB9"/>
    <w:rsid w:val="00EE1A68"/>
    <w:rsid w:val="00EE251B"/>
    <w:rsid w:val="00EE2753"/>
    <w:rsid w:val="00EE28E5"/>
    <w:rsid w:val="00EE29E3"/>
    <w:rsid w:val="00EE3290"/>
    <w:rsid w:val="00EE3E0B"/>
    <w:rsid w:val="00EE4930"/>
    <w:rsid w:val="00EE536E"/>
    <w:rsid w:val="00EE5546"/>
    <w:rsid w:val="00EE604C"/>
    <w:rsid w:val="00EE611F"/>
    <w:rsid w:val="00EE6329"/>
    <w:rsid w:val="00EE696E"/>
    <w:rsid w:val="00EE7751"/>
    <w:rsid w:val="00EE7A17"/>
    <w:rsid w:val="00EF06DD"/>
    <w:rsid w:val="00EF20A4"/>
    <w:rsid w:val="00EF2283"/>
    <w:rsid w:val="00EF3C1A"/>
    <w:rsid w:val="00EF4C29"/>
    <w:rsid w:val="00EF568A"/>
    <w:rsid w:val="00EF5822"/>
    <w:rsid w:val="00EF791A"/>
    <w:rsid w:val="00F00FD2"/>
    <w:rsid w:val="00F0107E"/>
    <w:rsid w:val="00F01248"/>
    <w:rsid w:val="00F02050"/>
    <w:rsid w:val="00F02435"/>
    <w:rsid w:val="00F0247A"/>
    <w:rsid w:val="00F02A01"/>
    <w:rsid w:val="00F02B21"/>
    <w:rsid w:val="00F03966"/>
    <w:rsid w:val="00F03F58"/>
    <w:rsid w:val="00F06BC8"/>
    <w:rsid w:val="00F071CA"/>
    <w:rsid w:val="00F0734B"/>
    <w:rsid w:val="00F07BDC"/>
    <w:rsid w:val="00F108EE"/>
    <w:rsid w:val="00F10931"/>
    <w:rsid w:val="00F10A0D"/>
    <w:rsid w:val="00F11A93"/>
    <w:rsid w:val="00F12A25"/>
    <w:rsid w:val="00F1408F"/>
    <w:rsid w:val="00F14771"/>
    <w:rsid w:val="00F14985"/>
    <w:rsid w:val="00F156A2"/>
    <w:rsid w:val="00F1725B"/>
    <w:rsid w:val="00F17D46"/>
    <w:rsid w:val="00F2021E"/>
    <w:rsid w:val="00F2051D"/>
    <w:rsid w:val="00F22895"/>
    <w:rsid w:val="00F23B1A"/>
    <w:rsid w:val="00F24EC0"/>
    <w:rsid w:val="00F25000"/>
    <w:rsid w:val="00F26037"/>
    <w:rsid w:val="00F26132"/>
    <w:rsid w:val="00F261A9"/>
    <w:rsid w:val="00F26227"/>
    <w:rsid w:val="00F264C9"/>
    <w:rsid w:val="00F26A13"/>
    <w:rsid w:val="00F26F2A"/>
    <w:rsid w:val="00F26F6F"/>
    <w:rsid w:val="00F27094"/>
    <w:rsid w:val="00F300E3"/>
    <w:rsid w:val="00F3067A"/>
    <w:rsid w:val="00F30D44"/>
    <w:rsid w:val="00F3157B"/>
    <w:rsid w:val="00F316C6"/>
    <w:rsid w:val="00F31B6D"/>
    <w:rsid w:val="00F32332"/>
    <w:rsid w:val="00F3268F"/>
    <w:rsid w:val="00F33080"/>
    <w:rsid w:val="00F33F49"/>
    <w:rsid w:val="00F34A11"/>
    <w:rsid w:val="00F35102"/>
    <w:rsid w:val="00F351C2"/>
    <w:rsid w:val="00F3584A"/>
    <w:rsid w:val="00F3695F"/>
    <w:rsid w:val="00F36AA0"/>
    <w:rsid w:val="00F36CF4"/>
    <w:rsid w:val="00F40258"/>
    <w:rsid w:val="00F40484"/>
    <w:rsid w:val="00F41376"/>
    <w:rsid w:val="00F4238C"/>
    <w:rsid w:val="00F42B11"/>
    <w:rsid w:val="00F43152"/>
    <w:rsid w:val="00F439A6"/>
    <w:rsid w:val="00F44F79"/>
    <w:rsid w:val="00F45FAF"/>
    <w:rsid w:val="00F460E1"/>
    <w:rsid w:val="00F46DD5"/>
    <w:rsid w:val="00F47010"/>
    <w:rsid w:val="00F51B6E"/>
    <w:rsid w:val="00F51D63"/>
    <w:rsid w:val="00F52345"/>
    <w:rsid w:val="00F531D0"/>
    <w:rsid w:val="00F53260"/>
    <w:rsid w:val="00F538D2"/>
    <w:rsid w:val="00F5402A"/>
    <w:rsid w:val="00F54845"/>
    <w:rsid w:val="00F54C1A"/>
    <w:rsid w:val="00F54CC5"/>
    <w:rsid w:val="00F54ED5"/>
    <w:rsid w:val="00F55575"/>
    <w:rsid w:val="00F5740E"/>
    <w:rsid w:val="00F608EF"/>
    <w:rsid w:val="00F61669"/>
    <w:rsid w:val="00F616D7"/>
    <w:rsid w:val="00F62AC7"/>
    <w:rsid w:val="00F630C1"/>
    <w:rsid w:val="00F641FA"/>
    <w:rsid w:val="00F6475B"/>
    <w:rsid w:val="00F64E85"/>
    <w:rsid w:val="00F653AF"/>
    <w:rsid w:val="00F659CD"/>
    <w:rsid w:val="00F65F38"/>
    <w:rsid w:val="00F66C6F"/>
    <w:rsid w:val="00F679D4"/>
    <w:rsid w:val="00F70341"/>
    <w:rsid w:val="00F705C0"/>
    <w:rsid w:val="00F707F1"/>
    <w:rsid w:val="00F711B2"/>
    <w:rsid w:val="00F71530"/>
    <w:rsid w:val="00F719C0"/>
    <w:rsid w:val="00F71A2D"/>
    <w:rsid w:val="00F71EE2"/>
    <w:rsid w:val="00F72345"/>
    <w:rsid w:val="00F7252F"/>
    <w:rsid w:val="00F725BF"/>
    <w:rsid w:val="00F72DD8"/>
    <w:rsid w:val="00F731BD"/>
    <w:rsid w:val="00F735F7"/>
    <w:rsid w:val="00F7429F"/>
    <w:rsid w:val="00F745FE"/>
    <w:rsid w:val="00F74BD0"/>
    <w:rsid w:val="00F74FC3"/>
    <w:rsid w:val="00F75D8F"/>
    <w:rsid w:val="00F75F12"/>
    <w:rsid w:val="00F7688F"/>
    <w:rsid w:val="00F770CD"/>
    <w:rsid w:val="00F776A4"/>
    <w:rsid w:val="00F77B1F"/>
    <w:rsid w:val="00F77D13"/>
    <w:rsid w:val="00F80597"/>
    <w:rsid w:val="00F81109"/>
    <w:rsid w:val="00F81FC6"/>
    <w:rsid w:val="00F823DA"/>
    <w:rsid w:val="00F826FB"/>
    <w:rsid w:val="00F840A0"/>
    <w:rsid w:val="00F84400"/>
    <w:rsid w:val="00F846DD"/>
    <w:rsid w:val="00F84719"/>
    <w:rsid w:val="00F84EFA"/>
    <w:rsid w:val="00F8554C"/>
    <w:rsid w:val="00F85B38"/>
    <w:rsid w:val="00F85F89"/>
    <w:rsid w:val="00F86072"/>
    <w:rsid w:val="00F8770B"/>
    <w:rsid w:val="00F87712"/>
    <w:rsid w:val="00F87C0C"/>
    <w:rsid w:val="00F87C50"/>
    <w:rsid w:val="00F903DF"/>
    <w:rsid w:val="00F91934"/>
    <w:rsid w:val="00F91A8C"/>
    <w:rsid w:val="00F91CDC"/>
    <w:rsid w:val="00F92663"/>
    <w:rsid w:val="00F929C4"/>
    <w:rsid w:val="00F930CA"/>
    <w:rsid w:val="00F932C1"/>
    <w:rsid w:val="00F93575"/>
    <w:rsid w:val="00F93C99"/>
    <w:rsid w:val="00F9536E"/>
    <w:rsid w:val="00F95462"/>
    <w:rsid w:val="00F962DA"/>
    <w:rsid w:val="00F96BB6"/>
    <w:rsid w:val="00FA008B"/>
    <w:rsid w:val="00FA0A9D"/>
    <w:rsid w:val="00FA0DB0"/>
    <w:rsid w:val="00FA161C"/>
    <w:rsid w:val="00FA333F"/>
    <w:rsid w:val="00FA33FD"/>
    <w:rsid w:val="00FA3D32"/>
    <w:rsid w:val="00FA3E25"/>
    <w:rsid w:val="00FA3EB0"/>
    <w:rsid w:val="00FA3ECA"/>
    <w:rsid w:val="00FA3EFC"/>
    <w:rsid w:val="00FA44E5"/>
    <w:rsid w:val="00FA4D5E"/>
    <w:rsid w:val="00FA4F9A"/>
    <w:rsid w:val="00FA5278"/>
    <w:rsid w:val="00FA55C1"/>
    <w:rsid w:val="00FA55EF"/>
    <w:rsid w:val="00FA6D45"/>
    <w:rsid w:val="00FA7B46"/>
    <w:rsid w:val="00FB0298"/>
    <w:rsid w:val="00FB0907"/>
    <w:rsid w:val="00FB0E23"/>
    <w:rsid w:val="00FB1733"/>
    <w:rsid w:val="00FB1B14"/>
    <w:rsid w:val="00FB1C0D"/>
    <w:rsid w:val="00FB1D72"/>
    <w:rsid w:val="00FB1ED1"/>
    <w:rsid w:val="00FB216A"/>
    <w:rsid w:val="00FB2344"/>
    <w:rsid w:val="00FB25F0"/>
    <w:rsid w:val="00FB2D32"/>
    <w:rsid w:val="00FB2E2C"/>
    <w:rsid w:val="00FB316D"/>
    <w:rsid w:val="00FB3216"/>
    <w:rsid w:val="00FB368F"/>
    <w:rsid w:val="00FB3D1B"/>
    <w:rsid w:val="00FB490D"/>
    <w:rsid w:val="00FB5013"/>
    <w:rsid w:val="00FB5084"/>
    <w:rsid w:val="00FB53FE"/>
    <w:rsid w:val="00FB6104"/>
    <w:rsid w:val="00FB74BD"/>
    <w:rsid w:val="00FB799D"/>
    <w:rsid w:val="00FC00C6"/>
    <w:rsid w:val="00FC0223"/>
    <w:rsid w:val="00FC191B"/>
    <w:rsid w:val="00FC2260"/>
    <w:rsid w:val="00FC29AA"/>
    <w:rsid w:val="00FC2A00"/>
    <w:rsid w:val="00FC2C88"/>
    <w:rsid w:val="00FC31FF"/>
    <w:rsid w:val="00FC37C0"/>
    <w:rsid w:val="00FC39A5"/>
    <w:rsid w:val="00FC3A94"/>
    <w:rsid w:val="00FC3E8A"/>
    <w:rsid w:val="00FC47AF"/>
    <w:rsid w:val="00FC4ADA"/>
    <w:rsid w:val="00FC6B2E"/>
    <w:rsid w:val="00FC7190"/>
    <w:rsid w:val="00FC72DD"/>
    <w:rsid w:val="00FD0322"/>
    <w:rsid w:val="00FD0C6D"/>
    <w:rsid w:val="00FD10DB"/>
    <w:rsid w:val="00FD1957"/>
    <w:rsid w:val="00FD1B90"/>
    <w:rsid w:val="00FD21C8"/>
    <w:rsid w:val="00FD30A5"/>
    <w:rsid w:val="00FD33B1"/>
    <w:rsid w:val="00FD4F89"/>
    <w:rsid w:val="00FD53E6"/>
    <w:rsid w:val="00FD5CFA"/>
    <w:rsid w:val="00FD68BE"/>
    <w:rsid w:val="00FE04EB"/>
    <w:rsid w:val="00FE084C"/>
    <w:rsid w:val="00FE0F69"/>
    <w:rsid w:val="00FE2CFE"/>
    <w:rsid w:val="00FE3066"/>
    <w:rsid w:val="00FE3A08"/>
    <w:rsid w:val="00FE3C9D"/>
    <w:rsid w:val="00FE4546"/>
    <w:rsid w:val="00FE49D6"/>
    <w:rsid w:val="00FE4AFC"/>
    <w:rsid w:val="00FE4D1A"/>
    <w:rsid w:val="00FE59B3"/>
    <w:rsid w:val="00FE5BBC"/>
    <w:rsid w:val="00FE6ED1"/>
    <w:rsid w:val="00FE70D2"/>
    <w:rsid w:val="00FE76C3"/>
    <w:rsid w:val="00FE76C4"/>
    <w:rsid w:val="00FE7F78"/>
    <w:rsid w:val="00FF0505"/>
    <w:rsid w:val="00FF18D5"/>
    <w:rsid w:val="00FF19D3"/>
    <w:rsid w:val="00FF2B36"/>
    <w:rsid w:val="00FF2DB9"/>
    <w:rsid w:val="00FF3084"/>
    <w:rsid w:val="00FF3289"/>
    <w:rsid w:val="00FF35DB"/>
    <w:rsid w:val="00FF4025"/>
    <w:rsid w:val="00FF573D"/>
    <w:rsid w:val="00FF5AE4"/>
    <w:rsid w:val="00FF5CB7"/>
    <w:rsid w:val="00FF653C"/>
    <w:rsid w:val="00FF710F"/>
    <w:rsid w:val="00FF73D8"/>
    <w:rsid w:val="00FF7B49"/>
    <w:rsid w:val="00FF7B8B"/>
    <w:rsid w:val="00FF7CCF"/>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D78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EYInterstate Light" w:eastAsia="Times New Roman" w:hAnsi="EYInterstate Light"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7B350A"/>
    <w:pPr>
      <w:autoSpaceDE w:val="0"/>
      <w:autoSpaceDN w:val="0"/>
      <w:adjustRightInd w:val="0"/>
    </w:pPr>
    <w:rPr>
      <w:rFonts w:ascii="Source Sans Pro" w:hAnsi="Source Sans Pro"/>
      <w:lang w:val="en-AU"/>
    </w:rPr>
  </w:style>
  <w:style w:type="paragraph" w:styleId="Heading1">
    <w:name w:val="heading 1"/>
    <w:basedOn w:val="Normal"/>
    <w:next w:val="EYBodytextwithparaspace"/>
    <w:rsid w:val="00F84400"/>
    <w:pPr>
      <w:keepNext/>
      <w:tabs>
        <w:tab w:val="left" w:pos="720"/>
      </w:tabs>
      <w:spacing w:after="240"/>
      <w:outlineLvl w:val="0"/>
    </w:pPr>
    <w:rPr>
      <w:b/>
      <w:bCs/>
      <w:sz w:val="32"/>
      <w:szCs w:val="24"/>
    </w:rPr>
  </w:style>
  <w:style w:type="paragraph" w:styleId="Heading2">
    <w:name w:val="heading 2"/>
    <w:basedOn w:val="Normal"/>
    <w:next w:val="EYBodytextwithparaspace"/>
    <w:rsid w:val="00F84400"/>
    <w:pPr>
      <w:keepNext/>
      <w:spacing w:after="120"/>
      <w:outlineLvl w:val="1"/>
    </w:pPr>
    <w:rPr>
      <w:rFonts w:cs="Arial"/>
      <w:b/>
      <w:bCs/>
      <w:iCs/>
      <w:sz w:val="28"/>
    </w:rPr>
  </w:style>
  <w:style w:type="paragraph" w:styleId="Heading3">
    <w:name w:val="heading 3"/>
    <w:basedOn w:val="Normal"/>
    <w:next w:val="EYBodytextwithparaspace"/>
    <w:rsid w:val="00F84400"/>
    <w:pPr>
      <w:keepNext/>
      <w:spacing w:after="120"/>
      <w:outlineLvl w:val="2"/>
    </w:pPr>
    <w:rPr>
      <w:rFonts w:cs="Arial"/>
      <w:b/>
      <w:bCs/>
      <w:sz w:val="24"/>
    </w:rPr>
  </w:style>
  <w:style w:type="paragraph" w:styleId="Heading4">
    <w:name w:val="heading 4"/>
    <w:basedOn w:val="Normal"/>
    <w:next w:val="EYBodytextwithparaspace"/>
    <w:link w:val="Heading4Char"/>
    <w:rsid w:val="00F84400"/>
    <w:pPr>
      <w:spacing w:after="120"/>
      <w:outlineLvl w:val="3"/>
    </w:pPr>
    <w:rPr>
      <w:color w:val="000000"/>
      <w:sz w:val="24"/>
    </w:rPr>
  </w:style>
  <w:style w:type="paragraph" w:styleId="Heading5">
    <w:name w:val="heading 5"/>
    <w:basedOn w:val="Normal"/>
    <w:next w:val="EYBodytextwithparaspace"/>
    <w:link w:val="Heading5Char"/>
    <w:rsid w:val="00F84400"/>
    <w:pPr>
      <w:spacing w:after="120"/>
      <w:outlineLvl w:val="4"/>
    </w:pPr>
    <w:rPr>
      <w:b/>
      <w:sz w:val="22"/>
    </w:rPr>
  </w:style>
  <w:style w:type="paragraph" w:styleId="Heading6">
    <w:name w:val="heading 6"/>
    <w:basedOn w:val="Normal"/>
    <w:next w:val="EYBodytextwithparaspace"/>
    <w:link w:val="Heading6Char"/>
    <w:rsid w:val="00F84400"/>
    <w:pPr>
      <w:outlineLvl w:val="5"/>
    </w:pPr>
    <w:rPr>
      <w:sz w:val="22"/>
    </w:rPr>
  </w:style>
  <w:style w:type="paragraph" w:styleId="Heading7">
    <w:name w:val="heading 7"/>
    <w:basedOn w:val="Normal"/>
    <w:next w:val="EYBodytextwithparaspace"/>
    <w:link w:val="Heading7Char"/>
    <w:rsid w:val="00F84400"/>
    <w:pPr>
      <w:spacing w:after="120"/>
      <w:outlineLvl w:val="6"/>
    </w:pPr>
    <w:rPr>
      <w:b/>
    </w:rPr>
  </w:style>
  <w:style w:type="paragraph" w:styleId="Heading8">
    <w:name w:val="heading 8"/>
    <w:basedOn w:val="Normal"/>
    <w:next w:val="EYBodytextwithparaspace"/>
    <w:link w:val="Heading8Char"/>
    <w:rsid w:val="00F84400"/>
    <w:pPr>
      <w:spacing w:after="120"/>
      <w:outlineLvl w:val="7"/>
    </w:pPr>
  </w:style>
  <w:style w:type="paragraph" w:styleId="Heading9">
    <w:name w:val="heading 9"/>
    <w:basedOn w:val="Normal"/>
    <w:next w:val="EYBodytextwithparaspace"/>
    <w:link w:val="Heading9Char"/>
    <w:rsid w:val="00F84400"/>
    <w:pPr>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YBodytextwithparaspace">
    <w:name w:val="EY Body text (with para space)"/>
    <w:basedOn w:val="EYNormal"/>
    <w:qFormat/>
    <w:rsid w:val="00F84400"/>
    <w:pPr>
      <w:spacing w:after="240"/>
    </w:pPr>
  </w:style>
  <w:style w:type="paragraph" w:customStyle="1" w:styleId="EYBodytextwithoutparaspace">
    <w:name w:val="EY Body text (without para space)"/>
    <w:basedOn w:val="EYNormal"/>
    <w:qFormat/>
    <w:rsid w:val="00F84400"/>
  </w:style>
  <w:style w:type="paragraph" w:styleId="Footer">
    <w:name w:val="footer"/>
    <w:aliases w:val="EY Footer"/>
    <w:basedOn w:val="EYNormal"/>
    <w:link w:val="FooterChar"/>
    <w:rsid w:val="00F84400"/>
    <w:pPr>
      <w:widowControl w:val="0"/>
      <w:tabs>
        <w:tab w:val="center" w:pos="4320"/>
        <w:tab w:val="right" w:pos="8640"/>
      </w:tabs>
    </w:pPr>
    <w:rPr>
      <w:sz w:val="16"/>
    </w:rPr>
  </w:style>
  <w:style w:type="character" w:customStyle="1" w:styleId="FooterChar">
    <w:name w:val="Footer Char"/>
    <w:aliases w:val="EY Footer Char"/>
    <w:basedOn w:val="DefaultParagraphFont"/>
    <w:link w:val="Footer"/>
    <w:rsid w:val="00F84400"/>
    <w:rPr>
      <w:rFonts w:ascii="EYInterstate Light" w:hAnsi="EYInterstate Light"/>
      <w:sz w:val="16"/>
      <w:lang w:val="en-AU"/>
    </w:rPr>
  </w:style>
  <w:style w:type="paragraph" w:customStyle="1" w:styleId="EYAppendix">
    <w:name w:val="EY Appendix"/>
    <w:basedOn w:val="EYNormal"/>
    <w:next w:val="EYBodytextwithparaspace"/>
    <w:qFormat/>
    <w:rsid w:val="000C2B3A"/>
    <w:pPr>
      <w:numPr>
        <w:numId w:val="4"/>
      </w:numPr>
      <w:autoSpaceDE/>
      <w:autoSpaceDN/>
      <w:adjustRightInd/>
      <w:spacing w:after="360"/>
      <w:outlineLvl w:val="0"/>
    </w:pPr>
    <w:rPr>
      <w:rFonts w:ascii="Roboto" w:hAnsi="Roboto"/>
      <w:b/>
      <w:color w:val="333333"/>
      <w:sz w:val="32"/>
      <w:szCs w:val="24"/>
    </w:rPr>
  </w:style>
  <w:style w:type="paragraph" w:styleId="Header">
    <w:name w:val="header"/>
    <w:basedOn w:val="EYNormal"/>
    <w:link w:val="HeaderChar"/>
    <w:rsid w:val="00F84400"/>
    <w:pPr>
      <w:tabs>
        <w:tab w:val="center" w:pos="4513"/>
        <w:tab w:val="right" w:pos="9026"/>
      </w:tabs>
    </w:pPr>
    <w:rPr>
      <w:sz w:val="16"/>
    </w:rPr>
  </w:style>
  <w:style w:type="character" w:customStyle="1" w:styleId="HeaderChar">
    <w:name w:val="Header Char"/>
    <w:basedOn w:val="DefaultParagraphFont"/>
    <w:link w:val="Header"/>
    <w:rsid w:val="00F84400"/>
    <w:rPr>
      <w:rFonts w:ascii="EYInterstate Light" w:hAnsi="EYInterstate Light"/>
      <w:sz w:val="16"/>
      <w:lang w:val="en-AU"/>
    </w:rPr>
  </w:style>
  <w:style w:type="paragraph" w:customStyle="1" w:styleId="EYContents">
    <w:name w:val="EY Contents"/>
    <w:basedOn w:val="EYNormal"/>
    <w:next w:val="EYBodytextwithparaspace"/>
    <w:rsid w:val="00F84400"/>
    <w:pPr>
      <w:keepNext/>
      <w:spacing w:after="240"/>
    </w:pPr>
    <w:rPr>
      <w:rFonts w:ascii="EYInterstate Regular" w:hAnsi="EYInterstate Regular"/>
      <w:color w:val="747480"/>
      <w:sz w:val="28"/>
      <w:szCs w:val="24"/>
    </w:rPr>
  </w:style>
  <w:style w:type="paragraph" w:customStyle="1" w:styleId="EYCoverTitle">
    <w:name w:val="EY Cover Title"/>
    <w:basedOn w:val="Normal"/>
    <w:rsid w:val="00F84400"/>
    <w:pPr>
      <w:tabs>
        <w:tab w:val="right" w:pos="6750"/>
      </w:tabs>
      <w:spacing w:after="120" w:line="560" w:lineRule="atLeast"/>
    </w:pPr>
    <w:rPr>
      <w:color w:val="2E2E38"/>
      <w:sz w:val="48"/>
      <w:szCs w:val="48"/>
    </w:rPr>
  </w:style>
  <w:style w:type="paragraph" w:customStyle="1" w:styleId="EYHeading4">
    <w:name w:val="EY Heading 4"/>
    <w:basedOn w:val="EYNormal"/>
    <w:next w:val="EYBodytextwithparaspace"/>
    <w:qFormat/>
    <w:rsid w:val="00F84400"/>
    <w:pPr>
      <w:keepNext/>
      <w:numPr>
        <w:ilvl w:val="3"/>
        <w:numId w:val="5"/>
      </w:numPr>
      <w:tabs>
        <w:tab w:val="clear" w:pos="0"/>
      </w:tabs>
      <w:spacing w:after="120"/>
      <w:outlineLvl w:val="3"/>
    </w:pPr>
    <w:rPr>
      <w:b/>
      <w:sz w:val="22"/>
      <w:szCs w:val="24"/>
    </w:rPr>
  </w:style>
  <w:style w:type="paragraph" w:customStyle="1" w:styleId="EYIndent1">
    <w:name w:val="EY Indent 1"/>
    <w:basedOn w:val="EYNormal"/>
    <w:qFormat/>
    <w:rsid w:val="00F84400"/>
    <w:pPr>
      <w:autoSpaceDE/>
      <w:autoSpaceDN/>
      <w:adjustRightInd/>
      <w:spacing w:after="240"/>
      <w:ind w:left="425"/>
    </w:pPr>
    <w:rPr>
      <w:kern w:val="12"/>
      <w:szCs w:val="24"/>
      <w:lang w:eastAsia="en-AU"/>
    </w:rPr>
  </w:style>
  <w:style w:type="paragraph" w:customStyle="1" w:styleId="EYSource">
    <w:name w:val="EY Source"/>
    <w:basedOn w:val="EYNormal"/>
    <w:next w:val="EYBodytextwithparaspace"/>
    <w:qFormat/>
    <w:rsid w:val="00F84400"/>
    <w:pPr>
      <w:autoSpaceDE/>
      <w:autoSpaceDN/>
      <w:adjustRightInd/>
      <w:spacing w:before="60" w:after="60"/>
    </w:pPr>
    <w:rPr>
      <w:i/>
      <w:sz w:val="16"/>
      <w:szCs w:val="24"/>
    </w:rPr>
  </w:style>
  <w:style w:type="paragraph" w:customStyle="1" w:styleId="EYTableText">
    <w:name w:val="EY Table Text"/>
    <w:basedOn w:val="EYTableNormal"/>
    <w:qFormat/>
    <w:rsid w:val="00F84400"/>
    <w:pPr>
      <w:spacing w:before="60" w:after="60"/>
    </w:pPr>
  </w:style>
  <w:style w:type="paragraph" w:customStyle="1" w:styleId="EYTableHeading">
    <w:name w:val="EY Table Heading"/>
    <w:basedOn w:val="EYTableNormal"/>
    <w:qFormat/>
    <w:rsid w:val="00F84400"/>
    <w:pPr>
      <w:spacing w:before="60" w:after="60"/>
    </w:pPr>
    <w:rPr>
      <w:b/>
      <w:color w:val="747480"/>
    </w:rPr>
  </w:style>
  <w:style w:type="paragraph" w:customStyle="1" w:styleId="EYTabletextbold">
    <w:name w:val="EY Table text bold"/>
    <w:basedOn w:val="EYTableNormal"/>
    <w:next w:val="EYTableText"/>
    <w:rsid w:val="00F84400"/>
    <w:pPr>
      <w:spacing w:before="60" w:after="60"/>
    </w:pPr>
    <w:rPr>
      <w:b/>
    </w:rPr>
  </w:style>
  <w:style w:type="character" w:styleId="Hyperlink">
    <w:name w:val="Hyperlink"/>
    <w:basedOn w:val="DefaultParagraphFont"/>
    <w:uiPriority w:val="99"/>
    <w:rsid w:val="007B350A"/>
    <w:rPr>
      <w:rFonts w:ascii="Source Sans Pro" w:hAnsi="Source Sans Pro"/>
      <w:color w:val="155CB4"/>
      <w:sz w:val="20"/>
      <w:u w:val="single"/>
    </w:rPr>
  </w:style>
  <w:style w:type="paragraph" w:styleId="TOC1">
    <w:name w:val="toc 1"/>
    <w:basedOn w:val="Normal"/>
    <w:next w:val="Normal"/>
    <w:uiPriority w:val="39"/>
    <w:rsid w:val="00F84400"/>
    <w:pPr>
      <w:tabs>
        <w:tab w:val="left" w:pos="600"/>
        <w:tab w:val="right" w:leader="dot" w:pos="13892"/>
      </w:tabs>
      <w:autoSpaceDE/>
      <w:autoSpaceDN/>
      <w:adjustRightInd/>
      <w:snapToGrid w:val="0"/>
      <w:spacing w:before="120"/>
    </w:pPr>
    <w:rPr>
      <w:rFonts w:cs="Arial"/>
      <w:noProof/>
      <w:szCs w:val="24"/>
      <w:lang w:eastAsia="en-GB"/>
    </w:rPr>
  </w:style>
  <w:style w:type="paragraph" w:styleId="TOC2">
    <w:name w:val="toc 2"/>
    <w:basedOn w:val="Normal"/>
    <w:next w:val="Normal"/>
    <w:uiPriority w:val="39"/>
    <w:rsid w:val="00F84400"/>
    <w:pPr>
      <w:tabs>
        <w:tab w:val="left" w:pos="960"/>
        <w:tab w:val="right" w:leader="dot" w:pos="13892"/>
      </w:tabs>
      <w:autoSpaceDE/>
      <w:autoSpaceDN/>
      <w:adjustRightInd/>
      <w:snapToGrid w:val="0"/>
      <w:spacing w:before="60"/>
      <w:ind w:left="198"/>
    </w:pPr>
    <w:rPr>
      <w:rFonts w:cs="Arial"/>
      <w:noProof/>
      <w:szCs w:val="24"/>
      <w:lang w:eastAsia="en-GB"/>
    </w:rPr>
  </w:style>
  <w:style w:type="paragraph" w:customStyle="1" w:styleId="EYTableHeadingWhite">
    <w:name w:val="EY Table Heading (White)"/>
    <w:basedOn w:val="EYTableNormal"/>
    <w:qFormat/>
    <w:rsid w:val="00F84400"/>
    <w:pPr>
      <w:spacing w:before="60" w:after="60"/>
    </w:pPr>
    <w:rPr>
      <w:b/>
      <w:bCs/>
      <w:color w:val="FFFFFF"/>
    </w:rPr>
  </w:style>
  <w:style w:type="paragraph" w:customStyle="1" w:styleId="EYCoverDate">
    <w:name w:val="EY Cover Date"/>
    <w:basedOn w:val="EYNormal"/>
    <w:rsid w:val="00F84400"/>
    <w:pPr>
      <w:autoSpaceDE/>
      <w:autoSpaceDN/>
      <w:adjustRightInd/>
      <w:spacing w:line="320" w:lineRule="atLeast"/>
    </w:pPr>
    <w:rPr>
      <w:b/>
      <w:color w:val="2E2E38"/>
      <w:sz w:val="24"/>
      <w:szCs w:val="24"/>
    </w:rPr>
  </w:style>
  <w:style w:type="paragraph" w:customStyle="1" w:styleId="EYCoverSubTitle">
    <w:name w:val="EY Cover SubTitle"/>
    <w:basedOn w:val="EYNormal"/>
    <w:rsid w:val="00F84400"/>
    <w:pPr>
      <w:spacing w:after="120" w:line="360" w:lineRule="atLeast"/>
    </w:pPr>
    <w:rPr>
      <w:rFonts w:ascii="EYInterstate Regular" w:hAnsi="EYInterstate Regular"/>
      <w:color w:val="2E2E38"/>
      <w:sz w:val="28"/>
      <w:szCs w:val="24"/>
    </w:rPr>
  </w:style>
  <w:style w:type="character" w:styleId="FootnoteReference">
    <w:name w:val="footnote reference"/>
    <w:aliases w:val="fr"/>
    <w:basedOn w:val="DefaultParagraphFont"/>
    <w:semiHidden/>
    <w:rsid w:val="00F84400"/>
    <w:rPr>
      <w:rFonts w:ascii="EYInterstate Light" w:hAnsi="EYInterstate Light"/>
      <w:position w:val="0"/>
      <w:sz w:val="20"/>
      <w:szCs w:val="20"/>
      <w:vertAlign w:val="superscript"/>
    </w:rPr>
  </w:style>
  <w:style w:type="character" w:customStyle="1" w:styleId="FootnoteTextChar">
    <w:name w:val="Footnote Text Char"/>
    <w:aliases w:val="fn Char,FT Char,ft Char,SD Footnote Text Char,Footnote Text AG Char"/>
    <w:basedOn w:val="DefaultParagraphFont"/>
    <w:link w:val="FootnoteText"/>
    <w:semiHidden/>
    <w:rsid w:val="00F84400"/>
    <w:rPr>
      <w:rFonts w:ascii="EYInterstate Light" w:hAnsi="EYInterstate Light"/>
      <w:sz w:val="16"/>
      <w:lang w:val="en-AU"/>
    </w:rPr>
  </w:style>
  <w:style w:type="paragraph" w:styleId="FootnoteText">
    <w:name w:val="footnote text"/>
    <w:aliases w:val="fn,FT,ft,SD Footnote Text,Footnote Text AG"/>
    <w:basedOn w:val="Normal"/>
    <w:link w:val="FootnoteTextChar"/>
    <w:semiHidden/>
    <w:rsid w:val="00F84400"/>
    <w:pPr>
      <w:keepNext/>
      <w:keepLines/>
    </w:pPr>
    <w:rPr>
      <w:sz w:val="16"/>
    </w:rPr>
  </w:style>
  <w:style w:type="character" w:customStyle="1" w:styleId="FootnoteTextChar1">
    <w:name w:val="Footnote Text Char1"/>
    <w:basedOn w:val="DefaultParagraphFont"/>
    <w:semiHidden/>
    <w:rsid w:val="00F84400"/>
    <w:rPr>
      <w:lang w:val="en-AU"/>
    </w:rPr>
  </w:style>
  <w:style w:type="paragraph" w:customStyle="1" w:styleId="EYBulletnoparaspace">
    <w:name w:val="EY Bullet (no para space)"/>
    <w:basedOn w:val="EYNormal"/>
    <w:qFormat/>
    <w:rsid w:val="00F84400"/>
    <w:pPr>
      <w:numPr>
        <w:numId w:val="9"/>
      </w:numPr>
      <w:autoSpaceDE/>
      <w:autoSpaceDN/>
      <w:adjustRightInd/>
      <w:spacing w:after="240"/>
      <w:contextualSpacing/>
    </w:pPr>
    <w:rPr>
      <w:szCs w:val="24"/>
    </w:rPr>
  </w:style>
  <w:style w:type="paragraph" w:customStyle="1" w:styleId="EYBulletedText1">
    <w:name w:val="EY Bulleted Text 1"/>
    <w:basedOn w:val="EYNormal"/>
    <w:qFormat/>
    <w:rsid w:val="00F84400"/>
    <w:pPr>
      <w:numPr>
        <w:numId w:val="8"/>
      </w:numPr>
      <w:autoSpaceDE/>
      <w:autoSpaceDN/>
      <w:adjustRightInd/>
      <w:spacing w:after="240"/>
    </w:pPr>
    <w:rPr>
      <w:szCs w:val="24"/>
    </w:rPr>
  </w:style>
  <w:style w:type="paragraph" w:customStyle="1" w:styleId="EYBulletedText2">
    <w:name w:val="EY Bulleted Text 2"/>
    <w:basedOn w:val="EYNormal"/>
    <w:qFormat/>
    <w:rsid w:val="00F84400"/>
    <w:pPr>
      <w:numPr>
        <w:ilvl w:val="1"/>
        <w:numId w:val="8"/>
      </w:numPr>
      <w:suppressAutoHyphens/>
      <w:autoSpaceDE/>
      <w:autoSpaceDN/>
      <w:adjustRightInd/>
      <w:spacing w:after="240"/>
    </w:pPr>
    <w:rPr>
      <w:kern w:val="12"/>
      <w:szCs w:val="24"/>
    </w:rPr>
  </w:style>
  <w:style w:type="paragraph" w:customStyle="1" w:styleId="EYBulletedText3">
    <w:name w:val="EY Bulleted Text 3"/>
    <w:basedOn w:val="EYNormal"/>
    <w:qFormat/>
    <w:rsid w:val="00F84400"/>
    <w:pPr>
      <w:numPr>
        <w:ilvl w:val="2"/>
        <w:numId w:val="8"/>
      </w:numPr>
      <w:spacing w:after="240"/>
    </w:pPr>
    <w:rPr>
      <w:szCs w:val="24"/>
    </w:rPr>
  </w:style>
  <w:style w:type="paragraph" w:customStyle="1" w:styleId="EYLeader">
    <w:name w:val="EY Leader"/>
    <w:basedOn w:val="EYNormal"/>
    <w:next w:val="EYBodytextwithparaspace"/>
    <w:qFormat/>
    <w:rsid w:val="00F84400"/>
    <w:pPr>
      <w:spacing w:after="280" w:line="280" w:lineRule="atLeast"/>
    </w:pPr>
    <w:rPr>
      <w:color w:val="747480"/>
      <w:sz w:val="24"/>
    </w:rPr>
  </w:style>
  <w:style w:type="paragraph" w:customStyle="1" w:styleId="EY1Number">
    <w:name w:val="EY1 ( Number)"/>
    <w:basedOn w:val="EYNormal"/>
    <w:qFormat/>
    <w:rsid w:val="00F84400"/>
    <w:pPr>
      <w:numPr>
        <w:numId w:val="7"/>
      </w:numPr>
      <w:autoSpaceDE/>
      <w:autoSpaceDN/>
      <w:adjustRightInd/>
      <w:spacing w:after="240"/>
    </w:pPr>
    <w:rPr>
      <w:kern w:val="12"/>
      <w:szCs w:val="24"/>
      <w:lang w:eastAsia="en-AU"/>
    </w:rPr>
  </w:style>
  <w:style w:type="paragraph" w:customStyle="1" w:styleId="EY2Letter">
    <w:name w:val="EY2 ( Letter)"/>
    <w:basedOn w:val="EY1Number"/>
    <w:qFormat/>
    <w:rsid w:val="00F84400"/>
    <w:pPr>
      <w:numPr>
        <w:ilvl w:val="1"/>
      </w:numPr>
    </w:pPr>
  </w:style>
  <w:style w:type="paragraph" w:customStyle="1" w:styleId="EY3Roman">
    <w:name w:val="EY3 (Roman)"/>
    <w:basedOn w:val="EY1Number"/>
    <w:qFormat/>
    <w:rsid w:val="00F84400"/>
    <w:pPr>
      <w:numPr>
        <w:ilvl w:val="2"/>
      </w:numPr>
    </w:pPr>
  </w:style>
  <w:style w:type="numbering" w:customStyle="1" w:styleId="EYBulletList">
    <w:name w:val="EYBulletList"/>
    <w:uiPriority w:val="99"/>
    <w:rsid w:val="00F84400"/>
    <w:pPr>
      <w:numPr>
        <w:numId w:val="8"/>
      </w:numPr>
    </w:pPr>
  </w:style>
  <w:style w:type="numbering" w:customStyle="1" w:styleId="EYPlainBulletList">
    <w:name w:val="EYPlainBulletList"/>
    <w:uiPriority w:val="99"/>
    <w:rsid w:val="00F84400"/>
    <w:pPr>
      <w:numPr>
        <w:numId w:val="2"/>
      </w:numPr>
    </w:pPr>
  </w:style>
  <w:style w:type="numbering" w:customStyle="1" w:styleId="EYAlphaNumList">
    <w:name w:val="EYAlphaNumList"/>
    <w:uiPriority w:val="99"/>
    <w:rsid w:val="00F84400"/>
    <w:pPr>
      <w:numPr>
        <w:numId w:val="7"/>
      </w:numPr>
    </w:pPr>
  </w:style>
  <w:style w:type="character" w:customStyle="1" w:styleId="Heading4Char">
    <w:name w:val="Heading 4 Char"/>
    <w:basedOn w:val="DefaultParagraphFont"/>
    <w:link w:val="Heading4"/>
    <w:rsid w:val="00F84400"/>
    <w:rPr>
      <w:rFonts w:ascii="EYInterstate Light" w:hAnsi="EYInterstate Light"/>
      <w:color w:val="000000"/>
      <w:sz w:val="24"/>
      <w:lang w:val="en-AU"/>
    </w:rPr>
  </w:style>
  <w:style w:type="character" w:customStyle="1" w:styleId="Heading5Char">
    <w:name w:val="Heading 5 Char"/>
    <w:basedOn w:val="DefaultParagraphFont"/>
    <w:link w:val="Heading5"/>
    <w:rsid w:val="00F84400"/>
    <w:rPr>
      <w:rFonts w:ascii="EYInterstate Light" w:hAnsi="EYInterstate Light"/>
      <w:b/>
      <w:sz w:val="22"/>
      <w:lang w:val="en-AU"/>
    </w:rPr>
  </w:style>
  <w:style w:type="character" w:customStyle="1" w:styleId="Heading6Char">
    <w:name w:val="Heading 6 Char"/>
    <w:basedOn w:val="DefaultParagraphFont"/>
    <w:link w:val="Heading6"/>
    <w:rsid w:val="00F84400"/>
    <w:rPr>
      <w:rFonts w:ascii="EYInterstate Light" w:hAnsi="EYInterstate Light"/>
      <w:sz w:val="22"/>
      <w:lang w:val="en-AU"/>
    </w:rPr>
  </w:style>
  <w:style w:type="character" w:customStyle="1" w:styleId="Heading7Char">
    <w:name w:val="Heading 7 Char"/>
    <w:basedOn w:val="DefaultParagraphFont"/>
    <w:link w:val="Heading7"/>
    <w:rsid w:val="00F84400"/>
    <w:rPr>
      <w:rFonts w:ascii="EYInterstate Light" w:hAnsi="EYInterstate Light"/>
      <w:b/>
      <w:lang w:val="en-AU"/>
    </w:rPr>
  </w:style>
  <w:style w:type="character" w:customStyle="1" w:styleId="Heading8Char">
    <w:name w:val="Heading 8 Char"/>
    <w:basedOn w:val="DefaultParagraphFont"/>
    <w:link w:val="Heading8"/>
    <w:rsid w:val="00F84400"/>
    <w:rPr>
      <w:rFonts w:ascii="EYInterstate Light" w:hAnsi="EYInterstate Light"/>
      <w:lang w:val="en-AU"/>
    </w:rPr>
  </w:style>
  <w:style w:type="character" w:customStyle="1" w:styleId="Heading9Char">
    <w:name w:val="Heading 9 Char"/>
    <w:basedOn w:val="DefaultParagraphFont"/>
    <w:link w:val="Heading9"/>
    <w:rsid w:val="00F84400"/>
    <w:rPr>
      <w:rFonts w:ascii="EYInterstate Light" w:hAnsi="EYInterstate Light"/>
      <w:i/>
      <w:lang w:val="en-AU"/>
    </w:rPr>
  </w:style>
  <w:style w:type="paragraph" w:customStyle="1" w:styleId="EYNormal">
    <w:name w:val="EY Normal"/>
    <w:basedOn w:val="Normal"/>
    <w:rsid w:val="000822EB"/>
  </w:style>
  <w:style w:type="paragraph" w:customStyle="1" w:styleId="EYAppendixHeading2">
    <w:name w:val="EY Appendix Heading 2"/>
    <w:basedOn w:val="EYNormal"/>
    <w:next w:val="EYBodytextwithparaspace"/>
    <w:qFormat/>
    <w:rsid w:val="00601D6E"/>
    <w:pPr>
      <w:keepNext/>
      <w:autoSpaceDE/>
      <w:autoSpaceDN/>
      <w:adjustRightInd/>
      <w:spacing w:after="120"/>
    </w:pPr>
    <w:rPr>
      <w:rFonts w:ascii="Roboto" w:hAnsi="Roboto"/>
      <w:b/>
      <w:sz w:val="28"/>
      <w:szCs w:val="24"/>
    </w:rPr>
  </w:style>
  <w:style w:type="paragraph" w:customStyle="1" w:styleId="EYAppendixHeading3">
    <w:name w:val="EY Appendix Heading 3"/>
    <w:basedOn w:val="EYNormal"/>
    <w:next w:val="EYBodytextwithparaspace"/>
    <w:qFormat/>
    <w:rsid w:val="00F84400"/>
    <w:pPr>
      <w:keepNext/>
      <w:autoSpaceDE/>
      <w:autoSpaceDN/>
      <w:adjustRightInd/>
      <w:spacing w:after="120"/>
    </w:pPr>
    <w:rPr>
      <w:b/>
      <w:sz w:val="26"/>
      <w:szCs w:val="24"/>
    </w:rPr>
  </w:style>
  <w:style w:type="paragraph" w:customStyle="1" w:styleId="EYBusinessaddress">
    <w:name w:val="EY Business address"/>
    <w:basedOn w:val="Normal"/>
    <w:rsid w:val="00F84400"/>
    <w:pPr>
      <w:spacing w:line="170" w:lineRule="atLeast"/>
    </w:pPr>
    <w:rPr>
      <w:color w:val="666666"/>
      <w:sz w:val="15"/>
      <w:szCs w:val="24"/>
    </w:rPr>
  </w:style>
  <w:style w:type="paragraph" w:customStyle="1" w:styleId="EYBusinessaddressbold">
    <w:name w:val="EY Business address (bold)"/>
    <w:basedOn w:val="EYBusinessaddress"/>
    <w:next w:val="EYBusinessaddress"/>
    <w:rsid w:val="00F84400"/>
    <w:rPr>
      <w:b/>
    </w:rPr>
  </w:style>
  <w:style w:type="paragraph" w:customStyle="1" w:styleId="EYIndent2">
    <w:name w:val="EY Indent 2"/>
    <w:basedOn w:val="EYIndent1"/>
    <w:qFormat/>
    <w:rsid w:val="00F84400"/>
    <w:pPr>
      <w:ind w:left="851"/>
    </w:pPr>
  </w:style>
  <w:style w:type="paragraph" w:customStyle="1" w:styleId="EYIndent3">
    <w:name w:val="EY Indent 3"/>
    <w:basedOn w:val="EYIndent1"/>
    <w:qFormat/>
    <w:rsid w:val="00F84400"/>
    <w:pPr>
      <w:ind w:left="1276"/>
    </w:pPr>
  </w:style>
  <w:style w:type="paragraph" w:customStyle="1" w:styleId="EYSubheading">
    <w:name w:val="EY Subheading"/>
    <w:basedOn w:val="EYNormal"/>
    <w:next w:val="EYBodytextwithparaspace"/>
    <w:qFormat/>
    <w:rsid w:val="00F84400"/>
    <w:pPr>
      <w:keepNext/>
      <w:autoSpaceDE/>
      <w:autoSpaceDN/>
      <w:adjustRightInd/>
      <w:spacing w:after="120"/>
    </w:pPr>
    <w:rPr>
      <w:b/>
      <w:kern w:val="12"/>
      <w:szCs w:val="24"/>
      <w:lang w:eastAsia="en-AU"/>
    </w:rPr>
  </w:style>
  <w:style w:type="paragraph" w:customStyle="1" w:styleId="EYTableNormal">
    <w:name w:val="EY Table Normal"/>
    <w:basedOn w:val="Normal"/>
    <w:rsid w:val="000319EA"/>
    <w:pPr>
      <w:autoSpaceDE/>
      <w:autoSpaceDN/>
      <w:adjustRightInd/>
    </w:pPr>
    <w:rPr>
      <w:sz w:val="18"/>
      <w:szCs w:val="24"/>
    </w:rPr>
  </w:style>
  <w:style w:type="paragraph" w:customStyle="1" w:styleId="EYTablebullet1">
    <w:name w:val="EY Table bullet 1"/>
    <w:basedOn w:val="EYTableNormal"/>
    <w:qFormat/>
    <w:rsid w:val="00F84400"/>
    <w:pPr>
      <w:numPr>
        <w:numId w:val="6"/>
      </w:numPr>
      <w:spacing w:before="60" w:after="60"/>
    </w:pPr>
    <w:rPr>
      <w:lang w:eastAsia="en-AU"/>
    </w:rPr>
  </w:style>
  <w:style w:type="paragraph" w:customStyle="1" w:styleId="EYTablebullet2">
    <w:name w:val="EY Table bullet 2"/>
    <w:basedOn w:val="EYTableNormal"/>
    <w:qFormat/>
    <w:rsid w:val="00F84400"/>
    <w:pPr>
      <w:numPr>
        <w:ilvl w:val="1"/>
        <w:numId w:val="6"/>
      </w:numPr>
      <w:spacing w:before="60" w:after="60"/>
    </w:pPr>
  </w:style>
  <w:style w:type="paragraph" w:styleId="TOC3">
    <w:name w:val="toc 3"/>
    <w:basedOn w:val="Normal"/>
    <w:next w:val="Normal"/>
    <w:uiPriority w:val="39"/>
    <w:rsid w:val="00F84400"/>
    <w:pPr>
      <w:tabs>
        <w:tab w:val="left" w:pos="1200"/>
        <w:tab w:val="right" w:leader="dot" w:pos="13892"/>
      </w:tabs>
      <w:autoSpaceDE/>
      <w:autoSpaceDN/>
      <w:adjustRightInd/>
      <w:snapToGrid w:val="0"/>
      <w:spacing w:before="60"/>
      <w:ind w:left="403"/>
    </w:pPr>
    <w:rPr>
      <w:rFonts w:cs="Arial"/>
      <w:noProof/>
      <w:szCs w:val="24"/>
      <w:lang w:eastAsia="en-GB"/>
    </w:rPr>
  </w:style>
  <w:style w:type="paragraph" w:styleId="TOC4">
    <w:name w:val="toc 4"/>
    <w:basedOn w:val="Normal"/>
    <w:next w:val="Normal"/>
    <w:uiPriority w:val="39"/>
    <w:rsid w:val="00F84400"/>
    <w:pPr>
      <w:tabs>
        <w:tab w:val="left" w:pos="1680"/>
        <w:tab w:val="right" w:leader="dot" w:pos="13892"/>
      </w:tabs>
      <w:autoSpaceDE/>
      <w:autoSpaceDN/>
      <w:adjustRightInd/>
      <w:snapToGrid w:val="0"/>
      <w:spacing w:before="60"/>
      <w:ind w:left="601"/>
    </w:pPr>
    <w:rPr>
      <w:rFonts w:cs="Arial"/>
      <w:noProof/>
      <w:szCs w:val="24"/>
      <w:lang w:eastAsia="en-GB"/>
    </w:rPr>
  </w:style>
  <w:style w:type="paragraph" w:styleId="BalloonText">
    <w:name w:val="Balloon Text"/>
    <w:basedOn w:val="Normal"/>
    <w:link w:val="BalloonTextChar"/>
    <w:semiHidden/>
    <w:rsid w:val="00F84400"/>
    <w:rPr>
      <w:rFonts w:ascii="Tahoma" w:hAnsi="Tahoma" w:cs="Tahoma"/>
      <w:sz w:val="16"/>
      <w:szCs w:val="16"/>
    </w:rPr>
  </w:style>
  <w:style w:type="character" w:customStyle="1" w:styleId="BalloonTextChar">
    <w:name w:val="Balloon Text Char"/>
    <w:basedOn w:val="DefaultParagraphFont"/>
    <w:link w:val="BalloonText"/>
    <w:semiHidden/>
    <w:rsid w:val="00F84400"/>
    <w:rPr>
      <w:rFonts w:ascii="Tahoma" w:hAnsi="Tahoma" w:cs="Tahoma"/>
      <w:sz w:val="16"/>
      <w:szCs w:val="16"/>
      <w:lang w:val="en-AU"/>
    </w:rPr>
  </w:style>
  <w:style w:type="character" w:styleId="EndnoteReference">
    <w:name w:val="endnote reference"/>
    <w:basedOn w:val="DefaultParagraphFont"/>
    <w:semiHidden/>
    <w:rsid w:val="00F84400"/>
    <w:rPr>
      <w:vertAlign w:val="superscript"/>
    </w:rPr>
  </w:style>
  <w:style w:type="paragraph" w:styleId="EndnoteText">
    <w:name w:val="endnote text"/>
    <w:basedOn w:val="Normal"/>
    <w:link w:val="EndnoteTextChar"/>
    <w:semiHidden/>
    <w:rsid w:val="00F84400"/>
  </w:style>
  <w:style w:type="character" w:customStyle="1" w:styleId="EndnoteTextChar">
    <w:name w:val="Endnote Text Char"/>
    <w:basedOn w:val="DefaultParagraphFont"/>
    <w:link w:val="EndnoteText"/>
    <w:semiHidden/>
    <w:rsid w:val="00F84400"/>
    <w:rPr>
      <w:rFonts w:ascii="EYInterstate Light" w:hAnsi="EYInterstate Light"/>
      <w:lang w:val="en-AU"/>
    </w:rPr>
  </w:style>
  <w:style w:type="numbering" w:customStyle="1" w:styleId="StyleNumbered">
    <w:name w:val="Style Numbered"/>
    <w:basedOn w:val="NoList"/>
    <w:rsid w:val="00F84400"/>
    <w:pPr>
      <w:numPr>
        <w:numId w:val="10"/>
      </w:numPr>
    </w:pPr>
  </w:style>
  <w:style w:type="paragraph" w:styleId="Caption">
    <w:name w:val="caption"/>
    <w:basedOn w:val="Normal"/>
    <w:next w:val="Normal"/>
    <w:unhideWhenUsed/>
    <w:qFormat/>
    <w:rsid w:val="001728D3"/>
    <w:pPr>
      <w:keepNext/>
      <w:spacing w:after="60"/>
    </w:pPr>
    <w:rPr>
      <w:b/>
      <w:bCs/>
      <w:color w:val="747480"/>
      <w:sz w:val="16"/>
      <w:szCs w:val="18"/>
    </w:rPr>
  </w:style>
  <w:style w:type="paragraph" w:customStyle="1" w:styleId="EYHeading1">
    <w:name w:val="EY Heading 1"/>
    <w:basedOn w:val="EYNormal"/>
    <w:next w:val="EYBodytextwithparaspace"/>
    <w:qFormat/>
    <w:rsid w:val="00E4217A"/>
    <w:pPr>
      <w:pageBreakBefore/>
      <w:numPr>
        <w:numId w:val="5"/>
      </w:numPr>
      <w:autoSpaceDE/>
      <w:autoSpaceDN/>
      <w:adjustRightInd/>
      <w:spacing w:after="360"/>
      <w:outlineLvl w:val="0"/>
    </w:pPr>
    <w:rPr>
      <w:rFonts w:ascii="Roboto" w:hAnsi="Roboto"/>
      <w:b/>
      <w:color w:val="333333"/>
      <w:sz w:val="32"/>
      <w:szCs w:val="24"/>
    </w:rPr>
  </w:style>
  <w:style w:type="paragraph" w:customStyle="1" w:styleId="EYHeading2">
    <w:name w:val="EY Heading 2"/>
    <w:basedOn w:val="EYNormal"/>
    <w:next w:val="EYBodytextwithparaspace"/>
    <w:qFormat/>
    <w:rsid w:val="00DC2472"/>
    <w:pPr>
      <w:keepNext/>
      <w:numPr>
        <w:ilvl w:val="1"/>
        <w:numId w:val="5"/>
      </w:numPr>
      <w:spacing w:before="120" w:after="120"/>
      <w:outlineLvl w:val="1"/>
    </w:pPr>
    <w:rPr>
      <w:rFonts w:ascii="Roboto" w:hAnsi="Roboto"/>
      <w:b/>
      <w:sz w:val="28"/>
      <w:szCs w:val="24"/>
    </w:rPr>
  </w:style>
  <w:style w:type="paragraph" w:customStyle="1" w:styleId="EYHeading3">
    <w:name w:val="EY Heading 3"/>
    <w:basedOn w:val="EYNormal"/>
    <w:next w:val="EYBodytextwithparaspace"/>
    <w:qFormat/>
    <w:rsid w:val="00F84400"/>
    <w:pPr>
      <w:keepNext/>
      <w:numPr>
        <w:ilvl w:val="2"/>
        <w:numId w:val="5"/>
      </w:numPr>
      <w:spacing w:before="120" w:after="120"/>
      <w:outlineLvl w:val="2"/>
    </w:pPr>
    <w:rPr>
      <w:b/>
      <w:sz w:val="26"/>
      <w:szCs w:val="24"/>
    </w:rPr>
  </w:style>
  <w:style w:type="table" w:styleId="TableGrid">
    <w:name w:val="Table Grid"/>
    <w:basedOn w:val="TableNormal"/>
    <w:rsid w:val="00343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7616D7"/>
    <w:rPr>
      <w:sz w:val="16"/>
      <w:szCs w:val="16"/>
    </w:rPr>
  </w:style>
  <w:style w:type="paragraph" w:styleId="CommentText">
    <w:name w:val="annotation text"/>
    <w:basedOn w:val="Normal"/>
    <w:link w:val="CommentTextChar"/>
    <w:unhideWhenUsed/>
    <w:rsid w:val="007616D7"/>
  </w:style>
  <w:style w:type="character" w:customStyle="1" w:styleId="CommentTextChar">
    <w:name w:val="Comment Text Char"/>
    <w:basedOn w:val="DefaultParagraphFont"/>
    <w:link w:val="CommentText"/>
    <w:rsid w:val="007616D7"/>
    <w:rPr>
      <w:lang w:val="en-AU"/>
    </w:rPr>
  </w:style>
  <w:style w:type="paragraph" w:styleId="CommentSubject">
    <w:name w:val="annotation subject"/>
    <w:basedOn w:val="CommentText"/>
    <w:next w:val="CommentText"/>
    <w:link w:val="CommentSubjectChar"/>
    <w:semiHidden/>
    <w:unhideWhenUsed/>
    <w:rsid w:val="007616D7"/>
    <w:rPr>
      <w:b/>
      <w:bCs/>
    </w:rPr>
  </w:style>
  <w:style w:type="character" w:customStyle="1" w:styleId="CommentSubjectChar">
    <w:name w:val="Comment Subject Char"/>
    <w:basedOn w:val="CommentTextChar"/>
    <w:link w:val="CommentSubject"/>
    <w:semiHidden/>
    <w:rsid w:val="007616D7"/>
    <w:rPr>
      <w:b/>
      <w:bCs/>
      <w:lang w:val="en-AU"/>
    </w:rPr>
  </w:style>
  <w:style w:type="character" w:styleId="UnresolvedMention">
    <w:name w:val="Unresolved Mention"/>
    <w:basedOn w:val="DefaultParagraphFont"/>
    <w:uiPriority w:val="99"/>
    <w:semiHidden/>
    <w:unhideWhenUsed/>
    <w:rsid w:val="0004618F"/>
    <w:rPr>
      <w:color w:val="605E5C"/>
      <w:shd w:val="clear" w:color="auto" w:fill="E1DFDD"/>
    </w:rPr>
  </w:style>
  <w:style w:type="character" w:styleId="FollowedHyperlink">
    <w:name w:val="FollowedHyperlink"/>
    <w:basedOn w:val="DefaultParagraphFont"/>
    <w:semiHidden/>
    <w:unhideWhenUsed/>
    <w:rsid w:val="003B2FAD"/>
    <w:rPr>
      <w:color w:val="800080" w:themeColor="followedHyperlink"/>
      <w:u w:val="single"/>
    </w:rPr>
  </w:style>
  <w:style w:type="character" w:styleId="Mention">
    <w:name w:val="Mention"/>
    <w:basedOn w:val="DefaultParagraphFont"/>
    <w:uiPriority w:val="99"/>
    <w:unhideWhenUsed/>
    <w:rsid w:val="00A26F4F"/>
    <w:rPr>
      <w:color w:val="2B579A"/>
      <w:shd w:val="clear" w:color="auto" w:fill="E1DFDD"/>
    </w:rPr>
  </w:style>
  <w:style w:type="paragraph" w:styleId="ListParagraph">
    <w:name w:val="List Paragraph"/>
    <w:basedOn w:val="Normal"/>
    <w:uiPriority w:val="34"/>
    <w:qFormat/>
    <w:rsid w:val="004075EF"/>
    <w:pPr>
      <w:autoSpaceDE/>
      <w:autoSpaceDN/>
      <w:adjustRightInd/>
      <w:ind w:left="720"/>
      <w:contextualSpacing/>
    </w:pPr>
    <w:rPr>
      <w:rFonts w:ascii="Times New Roman" w:hAnsi="Times New Roman"/>
      <w:sz w:val="24"/>
      <w:szCs w:val="24"/>
      <w:lang w:eastAsia="en-AU"/>
    </w:rPr>
  </w:style>
  <w:style w:type="paragraph" w:styleId="NormalWeb">
    <w:name w:val="Normal (Web)"/>
    <w:basedOn w:val="Normal"/>
    <w:uiPriority w:val="99"/>
    <w:unhideWhenUsed/>
    <w:rsid w:val="00C47BF9"/>
    <w:pPr>
      <w:autoSpaceDE/>
      <w:autoSpaceDN/>
      <w:adjustRightInd/>
      <w:spacing w:before="100" w:beforeAutospacing="1" w:after="100" w:afterAutospacing="1"/>
    </w:pPr>
    <w:rPr>
      <w:rFonts w:ascii="Times New Roman" w:hAnsi="Times New Roman"/>
      <w:sz w:val="24"/>
      <w:szCs w:val="24"/>
      <w:lang w:eastAsia="en-AU"/>
    </w:rPr>
  </w:style>
  <w:style w:type="paragraph" w:styleId="Bibliography">
    <w:name w:val="Bibliography"/>
    <w:basedOn w:val="Normal"/>
    <w:next w:val="Normal"/>
    <w:uiPriority w:val="37"/>
    <w:unhideWhenUsed/>
    <w:rsid w:val="00C2471A"/>
  </w:style>
  <w:style w:type="paragraph" w:customStyle="1" w:styleId="QAIHeading2">
    <w:name w:val="QAI Heading 2"/>
    <w:basedOn w:val="Normal"/>
    <w:autoRedefine/>
    <w:qFormat/>
    <w:rsid w:val="006017AE"/>
    <w:pPr>
      <w:autoSpaceDE/>
      <w:autoSpaceDN/>
      <w:adjustRightInd/>
      <w:spacing w:line="360" w:lineRule="auto"/>
    </w:pPr>
    <w:rPr>
      <w:rFonts w:ascii="Roboto" w:eastAsiaTheme="minorEastAsia" w:hAnsi="Roboto" w:cs="Calibri"/>
      <w:b/>
      <w:bCs/>
      <w:color w:val="333333"/>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28689">
      <w:bodyDiv w:val="1"/>
      <w:marLeft w:val="0"/>
      <w:marRight w:val="0"/>
      <w:marTop w:val="0"/>
      <w:marBottom w:val="0"/>
      <w:divBdr>
        <w:top w:val="none" w:sz="0" w:space="0" w:color="auto"/>
        <w:left w:val="none" w:sz="0" w:space="0" w:color="auto"/>
        <w:bottom w:val="none" w:sz="0" w:space="0" w:color="auto"/>
        <w:right w:val="none" w:sz="0" w:space="0" w:color="auto"/>
      </w:divBdr>
    </w:div>
    <w:div w:id="19403254">
      <w:bodyDiv w:val="1"/>
      <w:marLeft w:val="0"/>
      <w:marRight w:val="0"/>
      <w:marTop w:val="0"/>
      <w:marBottom w:val="0"/>
      <w:divBdr>
        <w:top w:val="none" w:sz="0" w:space="0" w:color="auto"/>
        <w:left w:val="none" w:sz="0" w:space="0" w:color="auto"/>
        <w:bottom w:val="none" w:sz="0" w:space="0" w:color="auto"/>
        <w:right w:val="none" w:sz="0" w:space="0" w:color="auto"/>
      </w:divBdr>
    </w:div>
    <w:div w:id="35542214">
      <w:bodyDiv w:val="1"/>
      <w:marLeft w:val="0"/>
      <w:marRight w:val="0"/>
      <w:marTop w:val="0"/>
      <w:marBottom w:val="0"/>
      <w:divBdr>
        <w:top w:val="none" w:sz="0" w:space="0" w:color="auto"/>
        <w:left w:val="none" w:sz="0" w:space="0" w:color="auto"/>
        <w:bottom w:val="none" w:sz="0" w:space="0" w:color="auto"/>
        <w:right w:val="none" w:sz="0" w:space="0" w:color="auto"/>
      </w:divBdr>
      <w:divsChild>
        <w:div w:id="1466702346">
          <w:marLeft w:val="360"/>
          <w:marRight w:val="0"/>
          <w:marTop w:val="120"/>
          <w:marBottom w:val="60"/>
          <w:divBdr>
            <w:top w:val="none" w:sz="0" w:space="0" w:color="auto"/>
            <w:left w:val="none" w:sz="0" w:space="0" w:color="auto"/>
            <w:bottom w:val="none" w:sz="0" w:space="0" w:color="auto"/>
            <w:right w:val="none" w:sz="0" w:space="0" w:color="auto"/>
          </w:divBdr>
        </w:div>
      </w:divsChild>
    </w:div>
    <w:div w:id="58093066">
      <w:bodyDiv w:val="1"/>
      <w:marLeft w:val="0"/>
      <w:marRight w:val="0"/>
      <w:marTop w:val="0"/>
      <w:marBottom w:val="0"/>
      <w:divBdr>
        <w:top w:val="none" w:sz="0" w:space="0" w:color="auto"/>
        <w:left w:val="none" w:sz="0" w:space="0" w:color="auto"/>
        <w:bottom w:val="none" w:sz="0" w:space="0" w:color="auto"/>
        <w:right w:val="none" w:sz="0" w:space="0" w:color="auto"/>
      </w:divBdr>
    </w:div>
    <w:div w:id="67927552">
      <w:bodyDiv w:val="1"/>
      <w:marLeft w:val="0"/>
      <w:marRight w:val="0"/>
      <w:marTop w:val="0"/>
      <w:marBottom w:val="0"/>
      <w:divBdr>
        <w:top w:val="none" w:sz="0" w:space="0" w:color="auto"/>
        <w:left w:val="none" w:sz="0" w:space="0" w:color="auto"/>
        <w:bottom w:val="none" w:sz="0" w:space="0" w:color="auto"/>
        <w:right w:val="none" w:sz="0" w:space="0" w:color="auto"/>
      </w:divBdr>
      <w:divsChild>
        <w:div w:id="165631575">
          <w:marLeft w:val="547"/>
          <w:marRight w:val="0"/>
          <w:marTop w:val="60"/>
          <w:marBottom w:val="0"/>
          <w:divBdr>
            <w:top w:val="none" w:sz="0" w:space="0" w:color="auto"/>
            <w:left w:val="none" w:sz="0" w:space="0" w:color="auto"/>
            <w:bottom w:val="none" w:sz="0" w:space="0" w:color="auto"/>
            <w:right w:val="none" w:sz="0" w:space="0" w:color="auto"/>
          </w:divBdr>
        </w:div>
        <w:div w:id="741760346">
          <w:marLeft w:val="1166"/>
          <w:marRight w:val="0"/>
          <w:marTop w:val="60"/>
          <w:marBottom w:val="0"/>
          <w:divBdr>
            <w:top w:val="none" w:sz="0" w:space="0" w:color="auto"/>
            <w:left w:val="none" w:sz="0" w:space="0" w:color="auto"/>
            <w:bottom w:val="none" w:sz="0" w:space="0" w:color="auto"/>
            <w:right w:val="none" w:sz="0" w:space="0" w:color="auto"/>
          </w:divBdr>
        </w:div>
        <w:div w:id="2110615678">
          <w:marLeft w:val="1166"/>
          <w:marRight w:val="0"/>
          <w:marTop w:val="60"/>
          <w:marBottom w:val="0"/>
          <w:divBdr>
            <w:top w:val="none" w:sz="0" w:space="0" w:color="auto"/>
            <w:left w:val="none" w:sz="0" w:space="0" w:color="auto"/>
            <w:bottom w:val="none" w:sz="0" w:space="0" w:color="auto"/>
            <w:right w:val="none" w:sz="0" w:space="0" w:color="auto"/>
          </w:divBdr>
        </w:div>
        <w:div w:id="351077804">
          <w:marLeft w:val="1166"/>
          <w:marRight w:val="0"/>
          <w:marTop w:val="60"/>
          <w:marBottom w:val="0"/>
          <w:divBdr>
            <w:top w:val="none" w:sz="0" w:space="0" w:color="auto"/>
            <w:left w:val="none" w:sz="0" w:space="0" w:color="auto"/>
            <w:bottom w:val="none" w:sz="0" w:space="0" w:color="auto"/>
            <w:right w:val="none" w:sz="0" w:space="0" w:color="auto"/>
          </w:divBdr>
        </w:div>
        <w:div w:id="418329725">
          <w:marLeft w:val="547"/>
          <w:marRight w:val="0"/>
          <w:marTop w:val="120"/>
          <w:marBottom w:val="0"/>
          <w:divBdr>
            <w:top w:val="none" w:sz="0" w:space="0" w:color="auto"/>
            <w:left w:val="none" w:sz="0" w:space="0" w:color="auto"/>
            <w:bottom w:val="none" w:sz="0" w:space="0" w:color="auto"/>
            <w:right w:val="none" w:sz="0" w:space="0" w:color="auto"/>
          </w:divBdr>
        </w:div>
        <w:div w:id="317078637">
          <w:marLeft w:val="547"/>
          <w:marRight w:val="0"/>
          <w:marTop w:val="120"/>
          <w:marBottom w:val="0"/>
          <w:divBdr>
            <w:top w:val="none" w:sz="0" w:space="0" w:color="auto"/>
            <w:left w:val="none" w:sz="0" w:space="0" w:color="auto"/>
            <w:bottom w:val="none" w:sz="0" w:space="0" w:color="auto"/>
            <w:right w:val="none" w:sz="0" w:space="0" w:color="auto"/>
          </w:divBdr>
        </w:div>
        <w:div w:id="771515994">
          <w:marLeft w:val="547"/>
          <w:marRight w:val="0"/>
          <w:marTop w:val="120"/>
          <w:marBottom w:val="0"/>
          <w:divBdr>
            <w:top w:val="none" w:sz="0" w:space="0" w:color="auto"/>
            <w:left w:val="none" w:sz="0" w:space="0" w:color="auto"/>
            <w:bottom w:val="none" w:sz="0" w:space="0" w:color="auto"/>
            <w:right w:val="none" w:sz="0" w:space="0" w:color="auto"/>
          </w:divBdr>
        </w:div>
        <w:div w:id="1982809582">
          <w:marLeft w:val="1166"/>
          <w:marRight w:val="0"/>
          <w:marTop w:val="60"/>
          <w:marBottom w:val="0"/>
          <w:divBdr>
            <w:top w:val="none" w:sz="0" w:space="0" w:color="auto"/>
            <w:left w:val="none" w:sz="0" w:space="0" w:color="auto"/>
            <w:bottom w:val="none" w:sz="0" w:space="0" w:color="auto"/>
            <w:right w:val="none" w:sz="0" w:space="0" w:color="auto"/>
          </w:divBdr>
        </w:div>
        <w:div w:id="782772678">
          <w:marLeft w:val="1166"/>
          <w:marRight w:val="0"/>
          <w:marTop w:val="60"/>
          <w:marBottom w:val="0"/>
          <w:divBdr>
            <w:top w:val="none" w:sz="0" w:space="0" w:color="auto"/>
            <w:left w:val="none" w:sz="0" w:space="0" w:color="auto"/>
            <w:bottom w:val="none" w:sz="0" w:space="0" w:color="auto"/>
            <w:right w:val="none" w:sz="0" w:space="0" w:color="auto"/>
          </w:divBdr>
        </w:div>
        <w:div w:id="2039772599">
          <w:marLeft w:val="547"/>
          <w:marRight w:val="0"/>
          <w:marTop w:val="120"/>
          <w:marBottom w:val="0"/>
          <w:divBdr>
            <w:top w:val="none" w:sz="0" w:space="0" w:color="auto"/>
            <w:left w:val="none" w:sz="0" w:space="0" w:color="auto"/>
            <w:bottom w:val="none" w:sz="0" w:space="0" w:color="auto"/>
            <w:right w:val="none" w:sz="0" w:space="0" w:color="auto"/>
          </w:divBdr>
        </w:div>
        <w:div w:id="2044400560">
          <w:marLeft w:val="1166"/>
          <w:marRight w:val="0"/>
          <w:marTop w:val="60"/>
          <w:marBottom w:val="0"/>
          <w:divBdr>
            <w:top w:val="none" w:sz="0" w:space="0" w:color="auto"/>
            <w:left w:val="none" w:sz="0" w:space="0" w:color="auto"/>
            <w:bottom w:val="none" w:sz="0" w:space="0" w:color="auto"/>
            <w:right w:val="none" w:sz="0" w:space="0" w:color="auto"/>
          </w:divBdr>
        </w:div>
        <w:div w:id="1762605680">
          <w:marLeft w:val="1166"/>
          <w:marRight w:val="0"/>
          <w:marTop w:val="60"/>
          <w:marBottom w:val="0"/>
          <w:divBdr>
            <w:top w:val="none" w:sz="0" w:space="0" w:color="auto"/>
            <w:left w:val="none" w:sz="0" w:space="0" w:color="auto"/>
            <w:bottom w:val="none" w:sz="0" w:space="0" w:color="auto"/>
            <w:right w:val="none" w:sz="0" w:space="0" w:color="auto"/>
          </w:divBdr>
        </w:div>
      </w:divsChild>
    </w:div>
    <w:div w:id="93790767">
      <w:bodyDiv w:val="1"/>
      <w:marLeft w:val="0"/>
      <w:marRight w:val="0"/>
      <w:marTop w:val="0"/>
      <w:marBottom w:val="0"/>
      <w:divBdr>
        <w:top w:val="none" w:sz="0" w:space="0" w:color="auto"/>
        <w:left w:val="none" w:sz="0" w:space="0" w:color="auto"/>
        <w:bottom w:val="none" w:sz="0" w:space="0" w:color="auto"/>
        <w:right w:val="none" w:sz="0" w:space="0" w:color="auto"/>
      </w:divBdr>
    </w:div>
    <w:div w:id="98915971">
      <w:bodyDiv w:val="1"/>
      <w:marLeft w:val="0"/>
      <w:marRight w:val="0"/>
      <w:marTop w:val="0"/>
      <w:marBottom w:val="0"/>
      <w:divBdr>
        <w:top w:val="none" w:sz="0" w:space="0" w:color="auto"/>
        <w:left w:val="none" w:sz="0" w:space="0" w:color="auto"/>
        <w:bottom w:val="none" w:sz="0" w:space="0" w:color="auto"/>
        <w:right w:val="none" w:sz="0" w:space="0" w:color="auto"/>
      </w:divBdr>
    </w:div>
    <w:div w:id="109083275">
      <w:bodyDiv w:val="1"/>
      <w:marLeft w:val="0"/>
      <w:marRight w:val="0"/>
      <w:marTop w:val="0"/>
      <w:marBottom w:val="0"/>
      <w:divBdr>
        <w:top w:val="none" w:sz="0" w:space="0" w:color="auto"/>
        <w:left w:val="none" w:sz="0" w:space="0" w:color="auto"/>
        <w:bottom w:val="none" w:sz="0" w:space="0" w:color="auto"/>
        <w:right w:val="none" w:sz="0" w:space="0" w:color="auto"/>
      </w:divBdr>
    </w:div>
    <w:div w:id="120736889">
      <w:bodyDiv w:val="1"/>
      <w:marLeft w:val="0"/>
      <w:marRight w:val="0"/>
      <w:marTop w:val="0"/>
      <w:marBottom w:val="0"/>
      <w:divBdr>
        <w:top w:val="none" w:sz="0" w:space="0" w:color="auto"/>
        <w:left w:val="none" w:sz="0" w:space="0" w:color="auto"/>
        <w:bottom w:val="none" w:sz="0" w:space="0" w:color="auto"/>
        <w:right w:val="none" w:sz="0" w:space="0" w:color="auto"/>
      </w:divBdr>
    </w:div>
    <w:div w:id="136456105">
      <w:bodyDiv w:val="1"/>
      <w:marLeft w:val="0"/>
      <w:marRight w:val="0"/>
      <w:marTop w:val="0"/>
      <w:marBottom w:val="0"/>
      <w:divBdr>
        <w:top w:val="none" w:sz="0" w:space="0" w:color="auto"/>
        <w:left w:val="none" w:sz="0" w:space="0" w:color="auto"/>
        <w:bottom w:val="none" w:sz="0" w:space="0" w:color="auto"/>
        <w:right w:val="none" w:sz="0" w:space="0" w:color="auto"/>
      </w:divBdr>
      <w:divsChild>
        <w:div w:id="1228421771">
          <w:marLeft w:val="360"/>
          <w:marRight w:val="0"/>
          <w:marTop w:val="0"/>
          <w:marBottom w:val="0"/>
          <w:divBdr>
            <w:top w:val="none" w:sz="0" w:space="0" w:color="auto"/>
            <w:left w:val="none" w:sz="0" w:space="0" w:color="auto"/>
            <w:bottom w:val="none" w:sz="0" w:space="0" w:color="auto"/>
            <w:right w:val="none" w:sz="0" w:space="0" w:color="auto"/>
          </w:divBdr>
        </w:div>
      </w:divsChild>
    </w:div>
    <w:div w:id="152450398">
      <w:bodyDiv w:val="1"/>
      <w:marLeft w:val="0"/>
      <w:marRight w:val="0"/>
      <w:marTop w:val="0"/>
      <w:marBottom w:val="0"/>
      <w:divBdr>
        <w:top w:val="none" w:sz="0" w:space="0" w:color="auto"/>
        <w:left w:val="none" w:sz="0" w:space="0" w:color="auto"/>
        <w:bottom w:val="none" w:sz="0" w:space="0" w:color="auto"/>
        <w:right w:val="none" w:sz="0" w:space="0" w:color="auto"/>
      </w:divBdr>
    </w:div>
    <w:div w:id="160392431">
      <w:bodyDiv w:val="1"/>
      <w:marLeft w:val="0"/>
      <w:marRight w:val="0"/>
      <w:marTop w:val="0"/>
      <w:marBottom w:val="0"/>
      <w:divBdr>
        <w:top w:val="none" w:sz="0" w:space="0" w:color="auto"/>
        <w:left w:val="none" w:sz="0" w:space="0" w:color="auto"/>
        <w:bottom w:val="none" w:sz="0" w:space="0" w:color="auto"/>
        <w:right w:val="none" w:sz="0" w:space="0" w:color="auto"/>
      </w:divBdr>
    </w:div>
    <w:div w:id="179513596">
      <w:bodyDiv w:val="1"/>
      <w:marLeft w:val="0"/>
      <w:marRight w:val="0"/>
      <w:marTop w:val="0"/>
      <w:marBottom w:val="0"/>
      <w:divBdr>
        <w:top w:val="none" w:sz="0" w:space="0" w:color="auto"/>
        <w:left w:val="none" w:sz="0" w:space="0" w:color="auto"/>
        <w:bottom w:val="none" w:sz="0" w:space="0" w:color="auto"/>
        <w:right w:val="none" w:sz="0" w:space="0" w:color="auto"/>
      </w:divBdr>
    </w:div>
    <w:div w:id="186716993">
      <w:bodyDiv w:val="1"/>
      <w:marLeft w:val="0"/>
      <w:marRight w:val="0"/>
      <w:marTop w:val="0"/>
      <w:marBottom w:val="0"/>
      <w:divBdr>
        <w:top w:val="none" w:sz="0" w:space="0" w:color="auto"/>
        <w:left w:val="none" w:sz="0" w:space="0" w:color="auto"/>
        <w:bottom w:val="none" w:sz="0" w:space="0" w:color="auto"/>
        <w:right w:val="none" w:sz="0" w:space="0" w:color="auto"/>
      </w:divBdr>
    </w:div>
    <w:div w:id="213004493">
      <w:bodyDiv w:val="1"/>
      <w:marLeft w:val="0"/>
      <w:marRight w:val="0"/>
      <w:marTop w:val="0"/>
      <w:marBottom w:val="0"/>
      <w:divBdr>
        <w:top w:val="none" w:sz="0" w:space="0" w:color="auto"/>
        <w:left w:val="none" w:sz="0" w:space="0" w:color="auto"/>
        <w:bottom w:val="none" w:sz="0" w:space="0" w:color="auto"/>
        <w:right w:val="none" w:sz="0" w:space="0" w:color="auto"/>
      </w:divBdr>
    </w:div>
    <w:div w:id="221454945">
      <w:bodyDiv w:val="1"/>
      <w:marLeft w:val="0"/>
      <w:marRight w:val="0"/>
      <w:marTop w:val="0"/>
      <w:marBottom w:val="0"/>
      <w:divBdr>
        <w:top w:val="none" w:sz="0" w:space="0" w:color="auto"/>
        <w:left w:val="none" w:sz="0" w:space="0" w:color="auto"/>
        <w:bottom w:val="none" w:sz="0" w:space="0" w:color="auto"/>
        <w:right w:val="none" w:sz="0" w:space="0" w:color="auto"/>
      </w:divBdr>
    </w:div>
    <w:div w:id="237524675">
      <w:bodyDiv w:val="1"/>
      <w:marLeft w:val="0"/>
      <w:marRight w:val="0"/>
      <w:marTop w:val="0"/>
      <w:marBottom w:val="0"/>
      <w:divBdr>
        <w:top w:val="none" w:sz="0" w:space="0" w:color="auto"/>
        <w:left w:val="none" w:sz="0" w:space="0" w:color="auto"/>
        <w:bottom w:val="none" w:sz="0" w:space="0" w:color="auto"/>
        <w:right w:val="none" w:sz="0" w:space="0" w:color="auto"/>
      </w:divBdr>
    </w:div>
    <w:div w:id="245505455">
      <w:bodyDiv w:val="1"/>
      <w:marLeft w:val="0"/>
      <w:marRight w:val="0"/>
      <w:marTop w:val="0"/>
      <w:marBottom w:val="0"/>
      <w:divBdr>
        <w:top w:val="none" w:sz="0" w:space="0" w:color="auto"/>
        <w:left w:val="none" w:sz="0" w:space="0" w:color="auto"/>
        <w:bottom w:val="none" w:sz="0" w:space="0" w:color="auto"/>
        <w:right w:val="none" w:sz="0" w:space="0" w:color="auto"/>
      </w:divBdr>
    </w:div>
    <w:div w:id="266039398">
      <w:bodyDiv w:val="1"/>
      <w:marLeft w:val="0"/>
      <w:marRight w:val="0"/>
      <w:marTop w:val="0"/>
      <w:marBottom w:val="0"/>
      <w:divBdr>
        <w:top w:val="none" w:sz="0" w:space="0" w:color="auto"/>
        <w:left w:val="none" w:sz="0" w:space="0" w:color="auto"/>
        <w:bottom w:val="none" w:sz="0" w:space="0" w:color="auto"/>
        <w:right w:val="none" w:sz="0" w:space="0" w:color="auto"/>
      </w:divBdr>
    </w:div>
    <w:div w:id="290747343">
      <w:bodyDiv w:val="1"/>
      <w:marLeft w:val="0"/>
      <w:marRight w:val="0"/>
      <w:marTop w:val="0"/>
      <w:marBottom w:val="0"/>
      <w:divBdr>
        <w:top w:val="none" w:sz="0" w:space="0" w:color="auto"/>
        <w:left w:val="none" w:sz="0" w:space="0" w:color="auto"/>
        <w:bottom w:val="none" w:sz="0" w:space="0" w:color="auto"/>
        <w:right w:val="none" w:sz="0" w:space="0" w:color="auto"/>
      </w:divBdr>
    </w:div>
    <w:div w:id="297495575">
      <w:bodyDiv w:val="1"/>
      <w:marLeft w:val="0"/>
      <w:marRight w:val="0"/>
      <w:marTop w:val="0"/>
      <w:marBottom w:val="0"/>
      <w:divBdr>
        <w:top w:val="none" w:sz="0" w:space="0" w:color="auto"/>
        <w:left w:val="none" w:sz="0" w:space="0" w:color="auto"/>
        <w:bottom w:val="none" w:sz="0" w:space="0" w:color="auto"/>
        <w:right w:val="none" w:sz="0" w:space="0" w:color="auto"/>
      </w:divBdr>
    </w:div>
    <w:div w:id="300117524">
      <w:bodyDiv w:val="1"/>
      <w:marLeft w:val="0"/>
      <w:marRight w:val="0"/>
      <w:marTop w:val="0"/>
      <w:marBottom w:val="0"/>
      <w:divBdr>
        <w:top w:val="none" w:sz="0" w:space="0" w:color="auto"/>
        <w:left w:val="none" w:sz="0" w:space="0" w:color="auto"/>
        <w:bottom w:val="none" w:sz="0" w:space="0" w:color="auto"/>
        <w:right w:val="none" w:sz="0" w:space="0" w:color="auto"/>
      </w:divBdr>
    </w:div>
    <w:div w:id="313527606">
      <w:bodyDiv w:val="1"/>
      <w:marLeft w:val="0"/>
      <w:marRight w:val="0"/>
      <w:marTop w:val="0"/>
      <w:marBottom w:val="0"/>
      <w:divBdr>
        <w:top w:val="none" w:sz="0" w:space="0" w:color="auto"/>
        <w:left w:val="none" w:sz="0" w:space="0" w:color="auto"/>
        <w:bottom w:val="none" w:sz="0" w:space="0" w:color="auto"/>
        <w:right w:val="none" w:sz="0" w:space="0" w:color="auto"/>
      </w:divBdr>
      <w:divsChild>
        <w:div w:id="834804077">
          <w:marLeft w:val="446"/>
          <w:marRight w:val="0"/>
          <w:marTop w:val="0"/>
          <w:marBottom w:val="60"/>
          <w:divBdr>
            <w:top w:val="none" w:sz="0" w:space="0" w:color="auto"/>
            <w:left w:val="none" w:sz="0" w:space="0" w:color="auto"/>
            <w:bottom w:val="none" w:sz="0" w:space="0" w:color="auto"/>
            <w:right w:val="none" w:sz="0" w:space="0" w:color="auto"/>
          </w:divBdr>
        </w:div>
        <w:div w:id="974988741">
          <w:marLeft w:val="446"/>
          <w:marRight w:val="0"/>
          <w:marTop w:val="0"/>
          <w:marBottom w:val="60"/>
          <w:divBdr>
            <w:top w:val="none" w:sz="0" w:space="0" w:color="auto"/>
            <w:left w:val="none" w:sz="0" w:space="0" w:color="auto"/>
            <w:bottom w:val="none" w:sz="0" w:space="0" w:color="auto"/>
            <w:right w:val="none" w:sz="0" w:space="0" w:color="auto"/>
          </w:divBdr>
        </w:div>
      </w:divsChild>
    </w:div>
    <w:div w:id="317882195">
      <w:bodyDiv w:val="1"/>
      <w:marLeft w:val="0"/>
      <w:marRight w:val="0"/>
      <w:marTop w:val="0"/>
      <w:marBottom w:val="0"/>
      <w:divBdr>
        <w:top w:val="none" w:sz="0" w:space="0" w:color="auto"/>
        <w:left w:val="none" w:sz="0" w:space="0" w:color="auto"/>
        <w:bottom w:val="none" w:sz="0" w:space="0" w:color="auto"/>
        <w:right w:val="none" w:sz="0" w:space="0" w:color="auto"/>
      </w:divBdr>
    </w:div>
    <w:div w:id="321278514">
      <w:bodyDiv w:val="1"/>
      <w:marLeft w:val="0"/>
      <w:marRight w:val="0"/>
      <w:marTop w:val="0"/>
      <w:marBottom w:val="0"/>
      <w:divBdr>
        <w:top w:val="none" w:sz="0" w:space="0" w:color="auto"/>
        <w:left w:val="none" w:sz="0" w:space="0" w:color="auto"/>
        <w:bottom w:val="none" w:sz="0" w:space="0" w:color="auto"/>
        <w:right w:val="none" w:sz="0" w:space="0" w:color="auto"/>
      </w:divBdr>
    </w:div>
    <w:div w:id="332149772">
      <w:bodyDiv w:val="1"/>
      <w:marLeft w:val="0"/>
      <w:marRight w:val="0"/>
      <w:marTop w:val="0"/>
      <w:marBottom w:val="0"/>
      <w:divBdr>
        <w:top w:val="none" w:sz="0" w:space="0" w:color="auto"/>
        <w:left w:val="none" w:sz="0" w:space="0" w:color="auto"/>
        <w:bottom w:val="none" w:sz="0" w:space="0" w:color="auto"/>
        <w:right w:val="none" w:sz="0" w:space="0" w:color="auto"/>
      </w:divBdr>
    </w:div>
    <w:div w:id="338240077">
      <w:bodyDiv w:val="1"/>
      <w:marLeft w:val="0"/>
      <w:marRight w:val="0"/>
      <w:marTop w:val="0"/>
      <w:marBottom w:val="0"/>
      <w:divBdr>
        <w:top w:val="none" w:sz="0" w:space="0" w:color="auto"/>
        <w:left w:val="none" w:sz="0" w:space="0" w:color="auto"/>
        <w:bottom w:val="none" w:sz="0" w:space="0" w:color="auto"/>
        <w:right w:val="none" w:sz="0" w:space="0" w:color="auto"/>
      </w:divBdr>
    </w:div>
    <w:div w:id="352608939">
      <w:bodyDiv w:val="1"/>
      <w:marLeft w:val="0"/>
      <w:marRight w:val="0"/>
      <w:marTop w:val="0"/>
      <w:marBottom w:val="0"/>
      <w:divBdr>
        <w:top w:val="none" w:sz="0" w:space="0" w:color="auto"/>
        <w:left w:val="none" w:sz="0" w:space="0" w:color="auto"/>
        <w:bottom w:val="none" w:sz="0" w:space="0" w:color="auto"/>
        <w:right w:val="none" w:sz="0" w:space="0" w:color="auto"/>
      </w:divBdr>
    </w:div>
    <w:div w:id="404378774">
      <w:bodyDiv w:val="1"/>
      <w:marLeft w:val="0"/>
      <w:marRight w:val="0"/>
      <w:marTop w:val="0"/>
      <w:marBottom w:val="0"/>
      <w:divBdr>
        <w:top w:val="none" w:sz="0" w:space="0" w:color="auto"/>
        <w:left w:val="none" w:sz="0" w:space="0" w:color="auto"/>
        <w:bottom w:val="none" w:sz="0" w:space="0" w:color="auto"/>
        <w:right w:val="none" w:sz="0" w:space="0" w:color="auto"/>
      </w:divBdr>
    </w:div>
    <w:div w:id="422839621">
      <w:bodyDiv w:val="1"/>
      <w:marLeft w:val="0"/>
      <w:marRight w:val="0"/>
      <w:marTop w:val="0"/>
      <w:marBottom w:val="0"/>
      <w:divBdr>
        <w:top w:val="none" w:sz="0" w:space="0" w:color="auto"/>
        <w:left w:val="none" w:sz="0" w:space="0" w:color="auto"/>
        <w:bottom w:val="none" w:sz="0" w:space="0" w:color="auto"/>
        <w:right w:val="none" w:sz="0" w:space="0" w:color="auto"/>
      </w:divBdr>
    </w:div>
    <w:div w:id="438568791">
      <w:bodyDiv w:val="1"/>
      <w:marLeft w:val="0"/>
      <w:marRight w:val="0"/>
      <w:marTop w:val="0"/>
      <w:marBottom w:val="0"/>
      <w:divBdr>
        <w:top w:val="none" w:sz="0" w:space="0" w:color="auto"/>
        <w:left w:val="none" w:sz="0" w:space="0" w:color="auto"/>
        <w:bottom w:val="none" w:sz="0" w:space="0" w:color="auto"/>
        <w:right w:val="none" w:sz="0" w:space="0" w:color="auto"/>
      </w:divBdr>
    </w:div>
    <w:div w:id="454714849">
      <w:bodyDiv w:val="1"/>
      <w:marLeft w:val="0"/>
      <w:marRight w:val="0"/>
      <w:marTop w:val="0"/>
      <w:marBottom w:val="0"/>
      <w:divBdr>
        <w:top w:val="none" w:sz="0" w:space="0" w:color="auto"/>
        <w:left w:val="none" w:sz="0" w:space="0" w:color="auto"/>
        <w:bottom w:val="none" w:sz="0" w:space="0" w:color="auto"/>
        <w:right w:val="none" w:sz="0" w:space="0" w:color="auto"/>
      </w:divBdr>
    </w:div>
    <w:div w:id="460420506">
      <w:bodyDiv w:val="1"/>
      <w:marLeft w:val="0"/>
      <w:marRight w:val="0"/>
      <w:marTop w:val="0"/>
      <w:marBottom w:val="0"/>
      <w:divBdr>
        <w:top w:val="none" w:sz="0" w:space="0" w:color="auto"/>
        <w:left w:val="none" w:sz="0" w:space="0" w:color="auto"/>
        <w:bottom w:val="none" w:sz="0" w:space="0" w:color="auto"/>
        <w:right w:val="none" w:sz="0" w:space="0" w:color="auto"/>
      </w:divBdr>
    </w:div>
    <w:div w:id="466094041">
      <w:bodyDiv w:val="1"/>
      <w:marLeft w:val="0"/>
      <w:marRight w:val="0"/>
      <w:marTop w:val="0"/>
      <w:marBottom w:val="0"/>
      <w:divBdr>
        <w:top w:val="none" w:sz="0" w:space="0" w:color="auto"/>
        <w:left w:val="none" w:sz="0" w:space="0" w:color="auto"/>
        <w:bottom w:val="none" w:sz="0" w:space="0" w:color="auto"/>
        <w:right w:val="none" w:sz="0" w:space="0" w:color="auto"/>
      </w:divBdr>
    </w:div>
    <w:div w:id="470752944">
      <w:bodyDiv w:val="1"/>
      <w:marLeft w:val="0"/>
      <w:marRight w:val="0"/>
      <w:marTop w:val="0"/>
      <w:marBottom w:val="0"/>
      <w:divBdr>
        <w:top w:val="none" w:sz="0" w:space="0" w:color="auto"/>
        <w:left w:val="none" w:sz="0" w:space="0" w:color="auto"/>
        <w:bottom w:val="none" w:sz="0" w:space="0" w:color="auto"/>
        <w:right w:val="none" w:sz="0" w:space="0" w:color="auto"/>
      </w:divBdr>
    </w:div>
    <w:div w:id="471022551">
      <w:bodyDiv w:val="1"/>
      <w:marLeft w:val="0"/>
      <w:marRight w:val="0"/>
      <w:marTop w:val="0"/>
      <w:marBottom w:val="0"/>
      <w:divBdr>
        <w:top w:val="none" w:sz="0" w:space="0" w:color="auto"/>
        <w:left w:val="none" w:sz="0" w:space="0" w:color="auto"/>
        <w:bottom w:val="none" w:sz="0" w:space="0" w:color="auto"/>
        <w:right w:val="none" w:sz="0" w:space="0" w:color="auto"/>
      </w:divBdr>
    </w:div>
    <w:div w:id="529031836">
      <w:bodyDiv w:val="1"/>
      <w:marLeft w:val="0"/>
      <w:marRight w:val="0"/>
      <w:marTop w:val="0"/>
      <w:marBottom w:val="0"/>
      <w:divBdr>
        <w:top w:val="none" w:sz="0" w:space="0" w:color="auto"/>
        <w:left w:val="none" w:sz="0" w:space="0" w:color="auto"/>
        <w:bottom w:val="none" w:sz="0" w:space="0" w:color="auto"/>
        <w:right w:val="none" w:sz="0" w:space="0" w:color="auto"/>
      </w:divBdr>
    </w:div>
    <w:div w:id="538785049">
      <w:bodyDiv w:val="1"/>
      <w:marLeft w:val="0"/>
      <w:marRight w:val="0"/>
      <w:marTop w:val="0"/>
      <w:marBottom w:val="0"/>
      <w:divBdr>
        <w:top w:val="none" w:sz="0" w:space="0" w:color="auto"/>
        <w:left w:val="none" w:sz="0" w:space="0" w:color="auto"/>
        <w:bottom w:val="none" w:sz="0" w:space="0" w:color="auto"/>
        <w:right w:val="none" w:sz="0" w:space="0" w:color="auto"/>
      </w:divBdr>
    </w:div>
    <w:div w:id="544952203">
      <w:bodyDiv w:val="1"/>
      <w:marLeft w:val="0"/>
      <w:marRight w:val="0"/>
      <w:marTop w:val="0"/>
      <w:marBottom w:val="0"/>
      <w:divBdr>
        <w:top w:val="none" w:sz="0" w:space="0" w:color="auto"/>
        <w:left w:val="none" w:sz="0" w:space="0" w:color="auto"/>
        <w:bottom w:val="none" w:sz="0" w:space="0" w:color="auto"/>
        <w:right w:val="none" w:sz="0" w:space="0" w:color="auto"/>
      </w:divBdr>
    </w:div>
    <w:div w:id="576473395">
      <w:bodyDiv w:val="1"/>
      <w:marLeft w:val="0"/>
      <w:marRight w:val="0"/>
      <w:marTop w:val="0"/>
      <w:marBottom w:val="0"/>
      <w:divBdr>
        <w:top w:val="none" w:sz="0" w:space="0" w:color="auto"/>
        <w:left w:val="none" w:sz="0" w:space="0" w:color="auto"/>
        <w:bottom w:val="none" w:sz="0" w:space="0" w:color="auto"/>
        <w:right w:val="none" w:sz="0" w:space="0" w:color="auto"/>
      </w:divBdr>
    </w:div>
    <w:div w:id="589506330">
      <w:bodyDiv w:val="1"/>
      <w:marLeft w:val="0"/>
      <w:marRight w:val="0"/>
      <w:marTop w:val="0"/>
      <w:marBottom w:val="0"/>
      <w:divBdr>
        <w:top w:val="none" w:sz="0" w:space="0" w:color="auto"/>
        <w:left w:val="none" w:sz="0" w:space="0" w:color="auto"/>
        <w:bottom w:val="none" w:sz="0" w:space="0" w:color="auto"/>
        <w:right w:val="none" w:sz="0" w:space="0" w:color="auto"/>
      </w:divBdr>
    </w:div>
    <w:div w:id="594434759">
      <w:bodyDiv w:val="1"/>
      <w:marLeft w:val="0"/>
      <w:marRight w:val="0"/>
      <w:marTop w:val="0"/>
      <w:marBottom w:val="0"/>
      <w:divBdr>
        <w:top w:val="none" w:sz="0" w:space="0" w:color="auto"/>
        <w:left w:val="none" w:sz="0" w:space="0" w:color="auto"/>
        <w:bottom w:val="none" w:sz="0" w:space="0" w:color="auto"/>
        <w:right w:val="none" w:sz="0" w:space="0" w:color="auto"/>
      </w:divBdr>
    </w:div>
    <w:div w:id="646057918">
      <w:bodyDiv w:val="1"/>
      <w:marLeft w:val="0"/>
      <w:marRight w:val="0"/>
      <w:marTop w:val="0"/>
      <w:marBottom w:val="0"/>
      <w:divBdr>
        <w:top w:val="none" w:sz="0" w:space="0" w:color="auto"/>
        <w:left w:val="none" w:sz="0" w:space="0" w:color="auto"/>
        <w:bottom w:val="none" w:sz="0" w:space="0" w:color="auto"/>
        <w:right w:val="none" w:sz="0" w:space="0" w:color="auto"/>
      </w:divBdr>
    </w:div>
    <w:div w:id="671876918">
      <w:bodyDiv w:val="1"/>
      <w:marLeft w:val="0"/>
      <w:marRight w:val="0"/>
      <w:marTop w:val="0"/>
      <w:marBottom w:val="0"/>
      <w:divBdr>
        <w:top w:val="none" w:sz="0" w:space="0" w:color="auto"/>
        <w:left w:val="none" w:sz="0" w:space="0" w:color="auto"/>
        <w:bottom w:val="none" w:sz="0" w:space="0" w:color="auto"/>
        <w:right w:val="none" w:sz="0" w:space="0" w:color="auto"/>
      </w:divBdr>
      <w:divsChild>
        <w:div w:id="2136368372">
          <w:marLeft w:val="446"/>
          <w:marRight w:val="0"/>
          <w:marTop w:val="0"/>
          <w:marBottom w:val="60"/>
          <w:divBdr>
            <w:top w:val="none" w:sz="0" w:space="0" w:color="auto"/>
            <w:left w:val="none" w:sz="0" w:space="0" w:color="auto"/>
            <w:bottom w:val="none" w:sz="0" w:space="0" w:color="auto"/>
            <w:right w:val="none" w:sz="0" w:space="0" w:color="auto"/>
          </w:divBdr>
        </w:div>
        <w:div w:id="1959607438">
          <w:marLeft w:val="446"/>
          <w:marRight w:val="0"/>
          <w:marTop w:val="0"/>
          <w:marBottom w:val="60"/>
          <w:divBdr>
            <w:top w:val="none" w:sz="0" w:space="0" w:color="auto"/>
            <w:left w:val="none" w:sz="0" w:space="0" w:color="auto"/>
            <w:bottom w:val="none" w:sz="0" w:space="0" w:color="auto"/>
            <w:right w:val="none" w:sz="0" w:space="0" w:color="auto"/>
          </w:divBdr>
        </w:div>
      </w:divsChild>
    </w:div>
    <w:div w:id="673647388">
      <w:bodyDiv w:val="1"/>
      <w:marLeft w:val="0"/>
      <w:marRight w:val="0"/>
      <w:marTop w:val="0"/>
      <w:marBottom w:val="0"/>
      <w:divBdr>
        <w:top w:val="none" w:sz="0" w:space="0" w:color="auto"/>
        <w:left w:val="none" w:sz="0" w:space="0" w:color="auto"/>
        <w:bottom w:val="none" w:sz="0" w:space="0" w:color="auto"/>
        <w:right w:val="none" w:sz="0" w:space="0" w:color="auto"/>
      </w:divBdr>
    </w:div>
    <w:div w:id="707031000">
      <w:bodyDiv w:val="1"/>
      <w:marLeft w:val="0"/>
      <w:marRight w:val="0"/>
      <w:marTop w:val="0"/>
      <w:marBottom w:val="0"/>
      <w:divBdr>
        <w:top w:val="none" w:sz="0" w:space="0" w:color="auto"/>
        <w:left w:val="none" w:sz="0" w:space="0" w:color="auto"/>
        <w:bottom w:val="none" w:sz="0" w:space="0" w:color="auto"/>
        <w:right w:val="none" w:sz="0" w:space="0" w:color="auto"/>
      </w:divBdr>
    </w:div>
    <w:div w:id="712849055">
      <w:bodyDiv w:val="1"/>
      <w:marLeft w:val="0"/>
      <w:marRight w:val="0"/>
      <w:marTop w:val="0"/>
      <w:marBottom w:val="0"/>
      <w:divBdr>
        <w:top w:val="none" w:sz="0" w:space="0" w:color="auto"/>
        <w:left w:val="none" w:sz="0" w:space="0" w:color="auto"/>
        <w:bottom w:val="none" w:sz="0" w:space="0" w:color="auto"/>
        <w:right w:val="none" w:sz="0" w:space="0" w:color="auto"/>
      </w:divBdr>
    </w:div>
    <w:div w:id="723941579">
      <w:bodyDiv w:val="1"/>
      <w:marLeft w:val="0"/>
      <w:marRight w:val="0"/>
      <w:marTop w:val="0"/>
      <w:marBottom w:val="0"/>
      <w:divBdr>
        <w:top w:val="none" w:sz="0" w:space="0" w:color="auto"/>
        <w:left w:val="none" w:sz="0" w:space="0" w:color="auto"/>
        <w:bottom w:val="none" w:sz="0" w:space="0" w:color="auto"/>
        <w:right w:val="none" w:sz="0" w:space="0" w:color="auto"/>
      </w:divBdr>
    </w:div>
    <w:div w:id="743140199">
      <w:bodyDiv w:val="1"/>
      <w:marLeft w:val="0"/>
      <w:marRight w:val="0"/>
      <w:marTop w:val="0"/>
      <w:marBottom w:val="0"/>
      <w:divBdr>
        <w:top w:val="none" w:sz="0" w:space="0" w:color="auto"/>
        <w:left w:val="none" w:sz="0" w:space="0" w:color="auto"/>
        <w:bottom w:val="none" w:sz="0" w:space="0" w:color="auto"/>
        <w:right w:val="none" w:sz="0" w:space="0" w:color="auto"/>
      </w:divBdr>
    </w:div>
    <w:div w:id="754742762">
      <w:bodyDiv w:val="1"/>
      <w:marLeft w:val="0"/>
      <w:marRight w:val="0"/>
      <w:marTop w:val="0"/>
      <w:marBottom w:val="0"/>
      <w:divBdr>
        <w:top w:val="none" w:sz="0" w:space="0" w:color="auto"/>
        <w:left w:val="none" w:sz="0" w:space="0" w:color="auto"/>
        <w:bottom w:val="none" w:sz="0" w:space="0" w:color="auto"/>
        <w:right w:val="none" w:sz="0" w:space="0" w:color="auto"/>
      </w:divBdr>
    </w:div>
    <w:div w:id="778918212">
      <w:bodyDiv w:val="1"/>
      <w:marLeft w:val="0"/>
      <w:marRight w:val="0"/>
      <w:marTop w:val="0"/>
      <w:marBottom w:val="0"/>
      <w:divBdr>
        <w:top w:val="none" w:sz="0" w:space="0" w:color="auto"/>
        <w:left w:val="none" w:sz="0" w:space="0" w:color="auto"/>
        <w:bottom w:val="none" w:sz="0" w:space="0" w:color="auto"/>
        <w:right w:val="none" w:sz="0" w:space="0" w:color="auto"/>
      </w:divBdr>
    </w:div>
    <w:div w:id="805053183">
      <w:bodyDiv w:val="1"/>
      <w:marLeft w:val="0"/>
      <w:marRight w:val="0"/>
      <w:marTop w:val="0"/>
      <w:marBottom w:val="0"/>
      <w:divBdr>
        <w:top w:val="none" w:sz="0" w:space="0" w:color="auto"/>
        <w:left w:val="none" w:sz="0" w:space="0" w:color="auto"/>
        <w:bottom w:val="none" w:sz="0" w:space="0" w:color="auto"/>
        <w:right w:val="none" w:sz="0" w:space="0" w:color="auto"/>
      </w:divBdr>
    </w:div>
    <w:div w:id="807749557">
      <w:bodyDiv w:val="1"/>
      <w:marLeft w:val="0"/>
      <w:marRight w:val="0"/>
      <w:marTop w:val="0"/>
      <w:marBottom w:val="0"/>
      <w:divBdr>
        <w:top w:val="none" w:sz="0" w:space="0" w:color="auto"/>
        <w:left w:val="none" w:sz="0" w:space="0" w:color="auto"/>
        <w:bottom w:val="none" w:sz="0" w:space="0" w:color="auto"/>
        <w:right w:val="none" w:sz="0" w:space="0" w:color="auto"/>
      </w:divBdr>
    </w:div>
    <w:div w:id="815298773">
      <w:bodyDiv w:val="1"/>
      <w:marLeft w:val="0"/>
      <w:marRight w:val="0"/>
      <w:marTop w:val="0"/>
      <w:marBottom w:val="0"/>
      <w:divBdr>
        <w:top w:val="none" w:sz="0" w:space="0" w:color="auto"/>
        <w:left w:val="none" w:sz="0" w:space="0" w:color="auto"/>
        <w:bottom w:val="none" w:sz="0" w:space="0" w:color="auto"/>
        <w:right w:val="none" w:sz="0" w:space="0" w:color="auto"/>
      </w:divBdr>
    </w:div>
    <w:div w:id="835730159">
      <w:bodyDiv w:val="1"/>
      <w:marLeft w:val="0"/>
      <w:marRight w:val="0"/>
      <w:marTop w:val="0"/>
      <w:marBottom w:val="0"/>
      <w:divBdr>
        <w:top w:val="none" w:sz="0" w:space="0" w:color="auto"/>
        <w:left w:val="none" w:sz="0" w:space="0" w:color="auto"/>
        <w:bottom w:val="none" w:sz="0" w:space="0" w:color="auto"/>
        <w:right w:val="none" w:sz="0" w:space="0" w:color="auto"/>
      </w:divBdr>
    </w:div>
    <w:div w:id="851266295">
      <w:bodyDiv w:val="1"/>
      <w:marLeft w:val="0"/>
      <w:marRight w:val="0"/>
      <w:marTop w:val="0"/>
      <w:marBottom w:val="0"/>
      <w:divBdr>
        <w:top w:val="none" w:sz="0" w:space="0" w:color="auto"/>
        <w:left w:val="none" w:sz="0" w:space="0" w:color="auto"/>
        <w:bottom w:val="none" w:sz="0" w:space="0" w:color="auto"/>
        <w:right w:val="none" w:sz="0" w:space="0" w:color="auto"/>
      </w:divBdr>
    </w:div>
    <w:div w:id="877738657">
      <w:bodyDiv w:val="1"/>
      <w:marLeft w:val="0"/>
      <w:marRight w:val="0"/>
      <w:marTop w:val="0"/>
      <w:marBottom w:val="0"/>
      <w:divBdr>
        <w:top w:val="none" w:sz="0" w:space="0" w:color="auto"/>
        <w:left w:val="none" w:sz="0" w:space="0" w:color="auto"/>
        <w:bottom w:val="none" w:sz="0" w:space="0" w:color="auto"/>
        <w:right w:val="none" w:sz="0" w:space="0" w:color="auto"/>
      </w:divBdr>
    </w:div>
    <w:div w:id="883718690">
      <w:bodyDiv w:val="1"/>
      <w:marLeft w:val="0"/>
      <w:marRight w:val="0"/>
      <w:marTop w:val="0"/>
      <w:marBottom w:val="0"/>
      <w:divBdr>
        <w:top w:val="none" w:sz="0" w:space="0" w:color="auto"/>
        <w:left w:val="none" w:sz="0" w:space="0" w:color="auto"/>
        <w:bottom w:val="none" w:sz="0" w:space="0" w:color="auto"/>
        <w:right w:val="none" w:sz="0" w:space="0" w:color="auto"/>
      </w:divBdr>
      <w:divsChild>
        <w:div w:id="1718819150">
          <w:marLeft w:val="1080"/>
          <w:marRight w:val="0"/>
          <w:marTop w:val="100"/>
          <w:marBottom w:val="60"/>
          <w:divBdr>
            <w:top w:val="none" w:sz="0" w:space="0" w:color="auto"/>
            <w:left w:val="none" w:sz="0" w:space="0" w:color="auto"/>
            <w:bottom w:val="none" w:sz="0" w:space="0" w:color="auto"/>
            <w:right w:val="none" w:sz="0" w:space="0" w:color="auto"/>
          </w:divBdr>
        </w:div>
        <w:div w:id="865407772">
          <w:marLeft w:val="1080"/>
          <w:marRight w:val="0"/>
          <w:marTop w:val="100"/>
          <w:marBottom w:val="60"/>
          <w:divBdr>
            <w:top w:val="none" w:sz="0" w:space="0" w:color="auto"/>
            <w:left w:val="none" w:sz="0" w:space="0" w:color="auto"/>
            <w:bottom w:val="none" w:sz="0" w:space="0" w:color="auto"/>
            <w:right w:val="none" w:sz="0" w:space="0" w:color="auto"/>
          </w:divBdr>
        </w:div>
      </w:divsChild>
    </w:div>
    <w:div w:id="886337371">
      <w:bodyDiv w:val="1"/>
      <w:marLeft w:val="0"/>
      <w:marRight w:val="0"/>
      <w:marTop w:val="0"/>
      <w:marBottom w:val="0"/>
      <w:divBdr>
        <w:top w:val="none" w:sz="0" w:space="0" w:color="auto"/>
        <w:left w:val="none" w:sz="0" w:space="0" w:color="auto"/>
        <w:bottom w:val="none" w:sz="0" w:space="0" w:color="auto"/>
        <w:right w:val="none" w:sz="0" w:space="0" w:color="auto"/>
      </w:divBdr>
    </w:div>
    <w:div w:id="929510047">
      <w:bodyDiv w:val="1"/>
      <w:marLeft w:val="0"/>
      <w:marRight w:val="0"/>
      <w:marTop w:val="0"/>
      <w:marBottom w:val="0"/>
      <w:divBdr>
        <w:top w:val="none" w:sz="0" w:space="0" w:color="auto"/>
        <w:left w:val="none" w:sz="0" w:space="0" w:color="auto"/>
        <w:bottom w:val="none" w:sz="0" w:space="0" w:color="auto"/>
        <w:right w:val="none" w:sz="0" w:space="0" w:color="auto"/>
      </w:divBdr>
    </w:div>
    <w:div w:id="957104349">
      <w:bodyDiv w:val="1"/>
      <w:marLeft w:val="0"/>
      <w:marRight w:val="0"/>
      <w:marTop w:val="0"/>
      <w:marBottom w:val="0"/>
      <w:divBdr>
        <w:top w:val="none" w:sz="0" w:space="0" w:color="auto"/>
        <w:left w:val="none" w:sz="0" w:space="0" w:color="auto"/>
        <w:bottom w:val="none" w:sz="0" w:space="0" w:color="auto"/>
        <w:right w:val="none" w:sz="0" w:space="0" w:color="auto"/>
      </w:divBdr>
    </w:div>
    <w:div w:id="969480729">
      <w:bodyDiv w:val="1"/>
      <w:marLeft w:val="0"/>
      <w:marRight w:val="0"/>
      <w:marTop w:val="0"/>
      <w:marBottom w:val="0"/>
      <w:divBdr>
        <w:top w:val="none" w:sz="0" w:space="0" w:color="auto"/>
        <w:left w:val="none" w:sz="0" w:space="0" w:color="auto"/>
        <w:bottom w:val="none" w:sz="0" w:space="0" w:color="auto"/>
        <w:right w:val="none" w:sz="0" w:space="0" w:color="auto"/>
      </w:divBdr>
    </w:div>
    <w:div w:id="979069492">
      <w:bodyDiv w:val="1"/>
      <w:marLeft w:val="0"/>
      <w:marRight w:val="0"/>
      <w:marTop w:val="0"/>
      <w:marBottom w:val="0"/>
      <w:divBdr>
        <w:top w:val="none" w:sz="0" w:space="0" w:color="auto"/>
        <w:left w:val="none" w:sz="0" w:space="0" w:color="auto"/>
        <w:bottom w:val="none" w:sz="0" w:space="0" w:color="auto"/>
        <w:right w:val="none" w:sz="0" w:space="0" w:color="auto"/>
      </w:divBdr>
    </w:div>
    <w:div w:id="1005522557">
      <w:bodyDiv w:val="1"/>
      <w:marLeft w:val="0"/>
      <w:marRight w:val="0"/>
      <w:marTop w:val="0"/>
      <w:marBottom w:val="0"/>
      <w:divBdr>
        <w:top w:val="none" w:sz="0" w:space="0" w:color="auto"/>
        <w:left w:val="none" w:sz="0" w:space="0" w:color="auto"/>
        <w:bottom w:val="none" w:sz="0" w:space="0" w:color="auto"/>
        <w:right w:val="none" w:sz="0" w:space="0" w:color="auto"/>
      </w:divBdr>
      <w:divsChild>
        <w:div w:id="1843740562">
          <w:marLeft w:val="274"/>
          <w:marRight w:val="0"/>
          <w:marTop w:val="0"/>
          <w:marBottom w:val="240"/>
          <w:divBdr>
            <w:top w:val="none" w:sz="0" w:space="0" w:color="auto"/>
            <w:left w:val="none" w:sz="0" w:space="0" w:color="auto"/>
            <w:bottom w:val="none" w:sz="0" w:space="0" w:color="auto"/>
            <w:right w:val="none" w:sz="0" w:space="0" w:color="auto"/>
          </w:divBdr>
        </w:div>
        <w:div w:id="1008019319">
          <w:marLeft w:val="274"/>
          <w:marRight w:val="0"/>
          <w:marTop w:val="0"/>
          <w:marBottom w:val="240"/>
          <w:divBdr>
            <w:top w:val="none" w:sz="0" w:space="0" w:color="auto"/>
            <w:left w:val="none" w:sz="0" w:space="0" w:color="auto"/>
            <w:bottom w:val="none" w:sz="0" w:space="0" w:color="auto"/>
            <w:right w:val="none" w:sz="0" w:space="0" w:color="auto"/>
          </w:divBdr>
        </w:div>
        <w:div w:id="2075161259">
          <w:marLeft w:val="274"/>
          <w:marRight w:val="0"/>
          <w:marTop w:val="0"/>
          <w:marBottom w:val="240"/>
          <w:divBdr>
            <w:top w:val="none" w:sz="0" w:space="0" w:color="auto"/>
            <w:left w:val="none" w:sz="0" w:space="0" w:color="auto"/>
            <w:bottom w:val="none" w:sz="0" w:space="0" w:color="auto"/>
            <w:right w:val="none" w:sz="0" w:space="0" w:color="auto"/>
          </w:divBdr>
        </w:div>
      </w:divsChild>
    </w:div>
    <w:div w:id="1018893170">
      <w:bodyDiv w:val="1"/>
      <w:marLeft w:val="0"/>
      <w:marRight w:val="0"/>
      <w:marTop w:val="0"/>
      <w:marBottom w:val="0"/>
      <w:divBdr>
        <w:top w:val="none" w:sz="0" w:space="0" w:color="auto"/>
        <w:left w:val="none" w:sz="0" w:space="0" w:color="auto"/>
        <w:bottom w:val="none" w:sz="0" w:space="0" w:color="auto"/>
        <w:right w:val="none" w:sz="0" w:space="0" w:color="auto"/>
      </w:divBdr>
    </w:div>
    <w:div w:id="1031340713">
      <w:bodyDiv w:val="1"/>
      <w:marLeft w:val="0"/>
      <w:marRight w:val="0"/>
      <w:marTop w:val="0"/>
      <w:marBottom w:val="0"/>
      <w:divBdr>
        <w:top w:val="none" w:sz="0" w:space="0" w:color="auto"/>
        <w:left w:val="none" w:sz="0" w:space="0" w:color="auto"/>
        <w:bottom w:val="none" w:sz="0" w:space="0" w:color="auto"/>
        <w:right w:val="none" w:sz="0" w:space="0" w:color="auto"/>
      </w:divBdr>
    </w:div>
    <w:div w:id="1034885251">
      <w:bodyDiv w:val="1"/>
      <w:marLeft w:val="0"/>
      <w:marRight w:val="0"/>
      <w:marTop w:val="0"/>
      <w:marBottom w:val="0"/>
      <w:divBdr>
        <w:top w:val="none" w:sz="0" w:space="0" w:color="auto"/>
        <w:left w:val="none" w:sz="0" w:space="0" w:color="auto"/>
        <w:bottom w:val="none" w:sz="0" w:space="0" w:color="auto"/>
        <w:right w:val="none" w:sz="0" w:space="0" w:color="auto"/>
      </w:divBdr>
    </w:div>
    <w:div w:id="1046761840">
      <w:bodyDiv w:val="1"/>
      <w:marLeft w:val="0"/>
      <w:marRight w:val="0"/>
      <w:marTop w:val="0"/>
      <w:marBottom w:val="0"/>
      <w:divBdr>
        <w:top w:val="none" w:sz="0" w:space="0" w:color="auto"/>
        <w:left w:val="none" w:sz="0" w:space="0" w:color="auto"/>
        <w:bottom w:val="none" w:sz="0" w:space="0" w:color="auto"/>
        <w:right w:val="none" w:sz="0" w:space="0" w:color="auto"/>
      </w:divBdr>
    </w:div>
    <w:div w:id="1058406956">
      <w:bodyDiv w:val="1"/>
      <w:marLeft w:val="0"/>
      <w:marRight w:val="0"/>
      <w:marTop w:val="0"/>
      <w:marBottom w:val="0"/>
      <w:divBdr>
        <w:top w:val="none" w:sz="0" w:space="0" w:color="auto"/>
        <w:left w:val="none" w:sz="0" w:space="0" w:color="auto"/>
        <w:bottom w:val="none" w:sz="0" w:space="0" w:color="auto"/>
        <w:right w:val="none" w:sz="0" w:space="0" w:color="auto"/>
      </w:divBdr>
    </w:div>
    <w:div w:id="1065176561">
      <w:bodyDiv w:val="1"/>
      <w:marLeft w:val="0"/>
      <w:marRight w:val="0"/>
      <w:marTop w:val="0"/>
      <w:marBottom w:val="0"/>
      <w:divBdr>
        <w:top w:val="none" w:sz="0" w:space="0" w:color="auto"/>
        <w:left w:val="none" w:sz="0" w:space="0" w:color="auto"/>
        <w:bottom w:val="none" w:sz="0" w:space="0" w:color="auto"/>
        <w:right w:val="none" w:sz="0" w:space="0" w:color="auto"/>
      </w:divBdr>
    </w:div>
    <w:div w:id="1066686879">
      <w:bodyDiv w:val="1"/>
      <w:marLeft w:val="0"/>
      <w:marRight w:val="0"/>
      <w:marTop w:val="0"/>
      <w:marBottom w:val="0"/>
      <w:divBdr>
        <w:top w:val="none" w:sz="0" w:space="0" w:color="auto"/>
        <w:left w:val="none" w:sz="0" w:space="0" w:color="auto"/>
        <w:bottom w:val="none" w:sz="0" w:space="0" w:color="auto"/>
        <w:right w:val="none" w:sz="0" w:space="0" w:color="auto"/>
      </w:divBdr>
    </w:div>
    <w:div w:id="1087992703">
      <w:bodyDiv w:val="1"/>
      <w:marLeft w:val="0"/>
      <w:marRight w:val="0"/>
      <w:marTop w:val="0"/>
      <w:marBottom w:val="0"/>
      <w:divBdr>
        <w:top w:val="none" w:sz="0" w:space="0" w:color="auto"/>
        <w:left w:val="none" w:sz="0" w:space="0" w:color="auto"/>
        <w:bottom w:val="none" w:sz="0" w:space="0" w:color="auto"/>
        <w:right w:val="none" w:sz="0" w:space="0" w:color="auto"/>
      </w:divBdr>
    </w:div>
    <w:div w:id="1122191125">
      <w:bodyDiv w:val="1"/>
      <w:marLeft w:val="0"/>
      <w:marRight w:val="0"/>
      <w:marTop w:val="0"/>
      <w:marBottom w:val="0"/>
      <w:divBdr>
        <w:top w:val="none" w:sz="0" w:space="0" w:color="auto"/>
        <w:left w:val="none" w:sz="0" w:space="0" w:color="auto"/>
        <w:bottom w:val="none" w:sz="0" w:space="0" w:color="auto"/>
        <w:right w:val="none" w:sz="0" w:space="0" w:color="auto"/>
      </w:divBdr>
      <w:divsChild>
        <w:div w:id="715859988">
          <w:marLeft w:val="0"/>
          <w:marRight w:val="0"/>
          <w:marTop w:val="60"/>
          <w:marBottom w:val="60"/>
          <w:divBdr>
            <w:top w:val="none" w:sz="0" w:space="0" w:color="auto"/>
            <w:left w:val="none" w:sz="0" w:space="0" w:color="auto"/>
            <w:bottom w:val="none" w:sz="0" w:space="0" w:color="auto"/>
            <w:right w:val="none" w:sz="0" w:space="0" w:color="auto"/>
          </w:divBdr>
        </w:div>
        <w:div w:id="557978055">
          <w:marLeft w:val="0"/>
          <w:marRight w:val="0"/>
          <w:marTop w:val="120"/>
          <w:marBottom w:val="60"/>
          <w:divBdr>
            <w:top w:val="none" w:sz="0" w:space="0" w:color="auto"/>
            <w:left w:val="none" w:sz="0" w:space="0" w:color="auto"/>
            <w:bottom w:val="none" w:sz="0" w:space="0" w:color="auto"/>
            <w:right w:val="none" w:sz="0" w:space="0" w:color="auto"/>
          </w:divBdr>
        </w:div>
        <w:div w:id="820970327">
          <w:marLeft w:val="0"/>
          <w:marRight w:val="0"/>
          <w:marTop w:val="120"/>
          <w:marBottom w:val="60"/>
          <w:divBdr>
            <w:top w:val="none" w:sz="0" w:space="0" w:color="auto"/>
            <w:left w:val="none" w:sz="0" w:space="0" w:color="auto"/>
            <w:bottom w:val="none" w:sz="0" w:space="0" w:color="auto"/>
            <w:right w:val="none" w:sz="0" w:space="0" w:color="auto"/>
          </w:divBdr>
        </w:div>
        <w:div w:id="161434541">
          <w:marLeft w:val="0"/>
          <w:marRight w:val="0"/>
          <w:marTop w:val="60"/>
          <w:marBottom w:val="60"/>
          <w:divBdr>
            <w:top w:val="none" w:sz="0" w:space="0" w:color="auto"/>
            <w:left w:val="none" w:sz="0" w:space="0" w:color="auto"/>
            <w:bottom w:val="none" w:sz="0" w:space="0" w:color="auto"/>
            <w:right w:val="none" w:sz="0" w:space="0" w:color="auto"/>
          </w:divBdr>
        </w:div>
      </w:divsChild>
    </w:div>
    <w:div w:id="1122572393">
      <w:bodyDiv w:val="1"/>
      <w:marLeft w:val="0"/>
      <w:marRight w:val="0"/>
      <w:marTop w:val="0"/>
      <w:marBottom w:val="0"/>
      <w:divBdr>
        <w:top w:val="none" w:sz="0" w:space="0" w:color="auto"/>
        <w:left w:val="none" w:sz="0" w:space="0" w:color="auto"/>
        <w:bottom w:val="none" w:sz="0" w:space="0" w:color="auto"/>
        <w:right w:val="none" w:sz="0" w:space="0" w:color="auto"/>
      </w:divBdr>
      <w:divsChild>
        <w:div w:id="1469470404">
          <w:marLeft w:val="360"/>
          <w:marRight w:val="0"/>
          <w:marTop w:val="120"/>
          <w:marBottom w:val="60"/>
          <w:divBdr>
            <w:top w:val="none" w:sz="0" w:space="0" w:color="auto"/>
            <w:left w:val="none" w:sz="0" w:space="0" w:color="auto"/>
            <w:bottom w:val="none" w:sz="0" w:space="0" w:color="auto"/>
            <w:right w:val="none" w:sz="0" w:space="0" w:color="auto"/>
          </w:divBdr>
        </w:div>
      </w:divsChild>
    </w:div>
    <w:div w:id="1155144820">
      <w:bodyDiv w:val="1"/>
      <w:marLeft w:val="0"/>
      <w:marRight w:val="0"/>
      <w:marTop w:val="0"/>
      <w:marBottom w:val="0"/>
      <w:divBdr>
        <w:top w:val="none" w:sz="0" w:space="0" w:color="auto"/>
        <w:left w:val="none" w:sz="0" w:space="0" w:color="auto"/>
        <w:bottom w:val="none" w:sz="0" w:space="0" w:color="auto"/>
        <w:right w:val="none" w:sz="0" w:space="0" w:color="auto"/>
      </w:divBdr>
      <w:divsChild>
        <w:div w:id="2067995526">
          <w:marLeft w:val="1080"/>
          <w:marRight w:val="0"/>
          <w:marTop w:val="100"/>
          <w:marBottom w:val="60"/>
          <w:divBdr>
            <w:top w:val="none" w:sz="0" w:space="0" w:color="auto"/>
            <w:left w:val="none" w:sz="0" w:space="0" w:color="auto"/>
            <w:bottom w:val="none" w:sz="0" w:space="0" w:color="auto"/>
            <w:right w:val="none" w:sz="0" w:space="0" w:color="auto"/>
          </w:divBdr>
        </w:div>
        <w:div w:id="1021708721">
          <w:marLeft w:val="1080"/>
          <w:marRight w:val="0"/>
          <w:marTop w:val="100"/>
          <w:marBottom w:val="60"/>
          <w:divBdr>
            <w:top w:val="none" w:sz="0" w:space="0" w:color="auto"/>
            <w:left w:val="none" w:sz="0" w:space="0" w:color="auto"/>
            <w:bottom w:val="none" w:sz="0" w:space="0" w:color="auto"/>
            <w:right w:val="none" w:sz="0" w:space="0" w:color="auto"/>
          </w:divBdr>
        </w:div>
      </w:divsChild>
    </w:div>
    <w:div w:id="1174999222">
      <w:bodyDiv w:val="1"/>
      <w:marLeft w:val="0"/>
      <w:marRight w:val="0"/>
      <w:marTop w:val="0"/>
      <w:marBottom w:val="0"/>
      <w:divBdr>
        <w:top w:val="none" w:sz="0" w:space="0" w:color="auto"/>
        <w:left w:val="none" w:sz="0" w:space="0" w:color="auto"/>
        <w:bottom w:val="none" w:sz="0" w:space="0" w:color="auto"/>
        <w:right w:val="none" w:sz="0" w:space="0" w:color="auto"/>
      </w:divBdr>
    </w:div>
    <w:div w:id="1177312159">
      <w:bodyDiv w:val="1"/>
      <w:marLeft w:val="0"/>
      <w:marRight w:val="0"/>
      <w:marTop w:val="0"/>
      <w:marBottom w:val="0"/>
      <w:divBdr>
        <w:top w:val="none" w:sz="0" w:space="0" w:color="auto"/>
        <w:left w:val="none" w:sz="0" w:space="0" w:color="auto"/>
        <w:bottom w:val="none" w:sz="0" w:space="0" w:color="auto"/>
        <w:right w:val="none" w:sz="0" w:space="0" w:color="auto"/>
      </w:divBdr>
    </w:div>
    <w:div w:id="1196575647">
      <w:bodyDiv w:val="1"/>
      <w:marLeft w:val="0"/>
      <w:marRight w:val="0"/>
      <w:marTop w:val="0"/>
      <w:marBottom w:val="0"/>
      <w:divBdr>
        <w:top w:val="none" w:sz="0" w:space="0" w:color="auto"/>
        <w:left w:val="none" w:sz="0" w:space="0" w:color="auto"/>
        <w:bottom w:val="none" w:sz="0" w:space="0" w:color="auto"/>
        <w:right w:val="none" w:sz="0" w:space="0" w:color="auto"/>
      </w:divBdr>
    </w:div>
    <w:div w:id="1200750947">
      <w:bodyDiv w:val="1"/>
      <w:marLeft w:val="0"/>
      <w:marRight w:val="0"/>
      <w:marTop w:val="0"/>
      <w:marBottom w:val="0"/>
      <w:divBdr>
        <w:top w:val="none" w:sz="0" w:space="0" w:color="auto"/>
        <w:left w:val="none" w:sz="0" w:space="0" w:color="auto"/>
        <w:bottom w:val="none" w:sz="0" w:space="0" w:color="auto"/>
        <w:right w:val="none" w:sz="0" w:space="0" w:color="auto"/>
      </w:divBdr>
    </w:div>
    <w:div w:id="1203438986">
      <w:bodyDiv w:val="1"/>
      <w:marLeft w:val="0"/>
      <w:marRight w:val="0"/>
      <w:marTop w:val="0"/>
      <w:marBottom w:val="0"/>
      <w:divBdr>
        <w:top w:val="none" w:sz="0" w:space="0" w:color="auto"/>
        <w:left w:val="none" w:sz="0" w:space="0" w:color="auto"/>
        <w:bottom w:val="none" w:sz="0" w:space="0" w:color="auto"/>
        <w:right w:val="none" w:sz="0" w:space="0" w:color="auto"/>
      </w:divBdr>
      <w:divsChild>
        <w:div w:id="1367751826">
          <w:marLeft w:val="360"/>
          <w:marRight w:val="0"/>
          <w:marTop w:val="120"/>
          <w:marBottom w:val="60"/>
          <w:divBdr>
            <w:top w:val="none" w:sz="0" w:space="0" w:color="auto"/>
            <w:left w:val="none" w:sz="0" w:space="0" w:color="auto"/>
            <w:bottom w:val="none" w:sz="0" w:space="0" w:color="auto"/>
            <w:right w:val="none" w:sz="0" w:space="0" w:color="auto"/>
          </w:divBdr>
        </w:div>
      </w:divsChild>
    </w:div>
    <w:div w:id="1209344658">
      <w:bodyDiv w:val="1"/>
      <w:marLeft w:val="0"/>
      <w:marRight w:val="0"/>
      <w:marTop w:val="0"/>
      <w:marBottom w:val="0"/>
      <w:divBdr>
        <w:top w:val="none" w:sz="0" w:space="0" w:color="auto"/>
        <w:left w:val="none" w:sz="0" w:space="0" w:color="auto"/>
        <w:bottom w:val="none" w:sz="0" w:space="0" w:color="auto"/>
        <w:right w:val="none" w:sz="0" w:space="0" w:color="auto"/>
      </w:divBdr>
    </w:div>
    <w:div w:id="1211767648">
      <w:bodyDiv w:val="1"/>
      <w:marLeft w:val="0"/>
      <w:marRight w:val="0"/>
      <w:marTop w:val="0"/>
      <w:marBottom w:val="0"/>
      <w:divBdr>
        <w:top w:val="none" w:sz="0" w:space="0" w:color="auto"/>
        <w:left w:val="none" w:sz="0" w:space="0" w:color="auto"/>
        <w:bottom w:val="none" w:sz="0" w:space="0" w:color="auto"/>
        <w:right w:val="none" w:sz="0" w:space="0" w:color="auto"/>
      </w:divBdr>
    </w:div>
    <w:div w:id="1235436067">
      <w:bodyDiv w:val="1"/>
      <w:marLeft w:val="0"/>
      <w:marRight w:val="0"/>
      <w:marTop w:val="0"/>
      <w:marBottom w:val="0"/>
      <w:divBdr>
        <w:top w:val="none" w:sz="0" w:space="0" w:color="auto"/>
        <w:left w:val="none" w:sz="0" w:space="0" w:color="auto"/>
        <w:bottom w:val="none" w:sz="0" w:space="0" w:color="auto"/>
        <w:right w:val="none" w:sz="0" w:space="0" w:color="auto"/>
      </w:divBdr>
    </w:div>
    <w:div w:id="1244685000">
      <w:bodyDiv w:val="1"/>
      <w:marLeft w:val="0"/>
      <w:marRight w:val="0"/>
      <w:marTop w:val="0"/>
      <w:marBottom w:val="0"/>
      <w:divBdr>
        <w:top w:val="none" w:sz="0" w:space="0" w:color="auto"/>
        <w:left w:val="none" w:sz="0" w:space="0" w:color="auto"/>
        <w:bottom w:val="none" w:sz="0" w:space="0" w:color="auto"/>
        <w:right w:val="none" w:sz="0" w:space="0" w:color="auto"/>
      </w:divBdr>
      <w:divsChild>
        <w:div w:id="1824422695">
          <w:marLeft w:val="1080"/>
          <w:marRight w:val="0"/>
          <w:marTop w:val="100"/>
          <w:marBottom w:val="60"/>
          <w:divBdr>
            <w:top w:val="none" w:sz="0" w:space="0" w:color="auto"/>
            <w:left w:val="none" w:sz="0" w:space="0" w:color="auto"/>
            <w:bottom w:val="none" w:sz="0" w:space="0" w:color="auto"/>
            <w:right w:val="none" w:sz="0" w:space="0" w:color="auto"/>
          </w:divBdr>
        </w:div>
        <w:div w:id="418143864">
          <w:marLeft w:val="1080"/>
          <w:marRight w:val="0"/>
          <w:marTop w:val="100"/>
          <w:marBottom w:val="60"/>
          <w:divBdr>
            <w:top w:val="none" w:sz="0" w:space="0" w:color="auto"/>
            <w:left w:val="none" w:sz="0" w:space="0" w:color="auto"/>
            <w:bottom w:val="none" w:sz="0" w:space="0" w:color="auto"/>
            <w:right w:val="none" w:sz="0" w:space="0" w:color="auto"/>
          </w:divBdr>
        </w:div>
      </w:divsChild>
    </w:div>
    <w:div w:id="1270043329">
      <w:bodyDiv w:val="1"/>
      <w:marLeft w:val="0"/>
      <w:marRight w:val="0"/>
      <w:marTop w:val="0"/>
      <w:marBottom w:val="0"/>
      <w:divBdr>
        <w:top w:val="none" w:sz="0" w:space="0" w:color="auto"/>
        <w:left w:val="none" w:sz="0" w:space="0" w:color="auto"/>
        <w:bottom w:val="none" w:sz="0" w:space="0" w:color="auto"/>
        <w:right w:val="none" w:sz="0" w:space="0" w:color="auto"/>
      </w:divBdr>
      <w:divsChild>
        <w:div w:id="854074122">
          <w:marLeft w:val="0"/>
          <w:marRight w:val="0"/>
          <w:marTop w:val="60"/>
          <w:marBottom w:val="60"/>
          <w:divBdr>
            <w:top w:val="none" w:sz="0" w:space="0" w:color="auto"/>
            <w:left w:val="none" w:sz="0" w:space="0" w:color="auto"/>
            <w:bottom w:val="none" w:sz="0" w:space="0" w:color="auto"/>
            <w:right w:val="none" w:sz="0" w:space="0" w:color="auto"/>
          </w:divBdr>
        </w:div>
        <w:div w:id="1622304819">
          <w:marLeft w:val="0"/>
          <w:marRight w:val="0"/>
          <w:marTop w:val="120"/>
          <w:marBottom w:val="60"/>
          <w:divBdr>
            <w:top w:val="none" w:sz="0" w:space="0" w:color="auto"/>
            <w:left w:val="none" w:sz="0" w:space="0" w:color="auto"/>
            <w:bottom w:val="none" w:sz="0" w:space="0" w:color="auto"/>
            <w:right w:val="none" w:sz="0" w:space="0" w:color="auto"/>
          </w:divBdr>
        </w:div>
        <w:div w:id="1945646754">
          <w:marLeft w:val="0"/>
          <w:marRight w:val="0"/>
          <w:marTop w:val="120"/>
          <w:marBottom w:val="60"/>
          <w:divBdr>
            <w:top w:val="none" w:sz="0" w:space="0" w:color="auto"/>
            <w:left w:val="none" w:sz="0" w:space="0" w:color="auto"/>
            <w:bottom w:val="none" w:sz="0" w:space="0" w:color="auto"/>
            <w:right w:val="none" w:sz="0" w:space="0" w:color="auto"/>
          </w:divBdr>
        </w:div>
        <w:div w:id="1508447289">
          <w:marLeft w:val="0"/>
          <w:marRight w:val="0"/>
          <w:marTop w:val="60"/>
          <w:marBottom w:val="60"/>
          <w:divBdr>
            <w:top w:val="none" w:sz="0" w:space="0" w:color="auto"/>
            <w:left w:val="none" w:sz="0" w:space="0" w:color="auto"/>
            <w:bottom w:val="none" w:sz="0" w:space="0" w:color="auto"/>
            <w:right w:val="none" w:sz="0" w:space="0" w:color="auto"/>
          </w:divBdr>
        </w:div>
      </w:divsChild>
    </w:div>
    <w:div w:id="1291590444">
      <w:bodyDiv w:val="1"/>
      <w:marLeft w:val="0"/>
      <w:marRight w:val="0"/>
      <w:marTop w:val="0"/>
      <w:marBottom w:val="0"/>
      <w:divBdr>
        <w:top w:val="none" w:sz="0" w:space="0" w:color="auto"/>
        <w:left w:val="none" w:sz="0" w:space="0" w:color="auto"/>
        <w:bottom w:val="none" w:sz="0" w:space="0" w:color="auto"/>
        <w:right w:val="none" w:sz="0" w:space="0" w:color="auto"/>
      </w:divBdr>
    </w:div>
    <w:div w:id="1315253131">
      <w:bodyDiv w:val="1"/>
      <w:marLeft w:val="0"/>
      <w:marRight w:val="0"/>
      <w:marTop w:val="0"/>
      <w:marBottom w:val="0"/>
      <w:divBdr>
        <w:top w:val="none" w:sz="0" w:space="0" w:color="auto"/>
        <w:left w:val="none" w:sz="0" w:space="0" w:color="auto"/>
        <w:bottom w:val="none" w:sz="0" w:space="0" w:color="auto"/>
        <w:right w:val="none" w:sz="0" w:space="0" w:color="auto"/>
      </w:divBdr>
    </w:div>
    <w:div w:id="1339043070">
      <w:bodyDiv w:val="1"/>
      <w:marLeft w:val="0"/>
      <w:marRight w:val="0"/>
      <w:marTop w:val="0"/>
      <w:marBottom w:val="0"/>
      <w:divBdr>
        <w:top w:val="none" w:sz="0" w:space="0" w:color="auto"/>
        <w:left w:val="none" w:sz="0" w:space="0" w:color="auto"/>
        <w:bottom w:val="none" w:sz="0" w:space="0" w:color="auto"/>
        <w:right w:val="none" w:sz="0" w:space="0" w:color="auto"/>
      </w:divBdr>
    </w:div>
    <w:div w:id="1354844380">
      <w:bodyDiv w:val="1"/>
      <w:marLeft w:val="0"/>
      <w:marRight w:val="0"/>
      <w:marTop w:val="0"/>
      <w:marBottom w:val="0"/>
      <w:divBdr>
        <w:top w:val="none" w:sz="0" w:space="0" w:color="auto"/>
        <w:left w:val="none" w:sz="0" w:space="0" w:color="auto"/>
        <w:bottom w:val="none" w:sz="0" w:space="0" w:color="auto"/>
        <w:right w:val="none" w:sz="0" w:space="0" w:color="auto"/>
      </w:divBdr>
    </w:div>
    <w:div w:id="1410039606">
      <w:bodyDiv w:val="1"/>
      <w:marLeft w:val="0"/>
      <w:marRight w:val="0"/>
      <w:marTop w:val="0"/>
      <w:marBottom w:val="0"/>
      <w:divBdr>
        <w:top w:val="none" w:sz="0" w:space="0" w:color="auto"/>
        <w:left w:val="none" w:sz="0" w:space="0" w:color="auto"/>
        <w:bottom w:val="none" w:sz="0" w:space="0" w:color="auto"/>
        <w:right w:val="none" w:sz="0" w:space="0" w:color="auto"/>
      </w:divBdr>
    </w:div>
    <w:div w:id="1427462010">
      <w:bodyDiv w:val="1"/>
      <w:marLeft w:val="0"/>
      <w:marRight w:val="0"/>
      <w:marTop w:val="0"/>
      <w:marBottom w:val="0"/>
      <w:divBdr>
        <w:top w:val="none" w:sz="0" w:space="0" w:color="auto"/>
        <w:left w:val="none" w:sz="0" w:space="0" w:color="auto"/>
        <w:bottom w:val="none" w:sz="0" w:space="0" w:color="auto"/>
        <w:right w:val="none" w:sz="0" w:space="0" w:color="auto"/>
      </w:divBdr>
    </w:div>
    <w:div w:id="1448618779">
      <w:bodyDiv w:val="1"/>
      <w:marLeft w:val="0"/>
      <w:marRight w:val="0"/>
      <w:marTop w:val="0"/>
      <w:marBottom w:val="0"/>
      <w:divBdr>
        <w:top w:val="none" w:sz="0" w:space="0" w:color="auto"/>
        <w:left w:val="none" w:sz="0" w:space="0" w:color="auto"/>
        <w:bottom w:val="none" w:sz="0" w:space="0" w:color="auto"/>
        <w:right w:val="none" w:sz="0" w:space="0" w:color="auto"/>
      </w:divBdr>
    </w:div>
    <w:div w:id="1459686521">
      <w:bodyDiv w:val="1"/>
      <w:marLeft w:val="0"/>
      <w:marRight w:val="0"/>
      <w:marTop w:val="0"/>
      <w:marBottom w:val="0"/>
      <w:divBdr>
        <w:top w:val="none" w:sz="0" w:space="0" w:color="auto"/>
        <w:left w:val="none" w:sz="0" w:space="0" w:color="auto"/>
        <w:bottom w:val="none" w:sz="0" w:space="0" w:color="auto"/>
        <w:right w:val="none" w:sz="0" w:space="0" w:color="auto"/>
      </w:divBdr>
    </w:div>
    <w:div w:id="1468862888">
      <w:bodyDiv w:val="1"/>
      <w:marLeft w:val="0"/>
      <w:marRight w:val="0"/>
      <w:marTop w:val="0"/>
      <w:marBottom w:val="0"/>
      <w:divBdr>
        <w:top w:val="none" w:sz="0" w:space="0" w:color="auto"/>
        <w:left w:val="none" w:sz="0" w:space="0" w:color="auto"/>
        <w:bottom w:val="none" w:sz="0" w:space="0" w:color="auto"/>
        <w:right w:val="none" w:sz="0" w:space="0" w:color="auto"/>
      </w:divBdr>
    </w:div>
    <w:div w:id="1473675055">
      <w:bodyDiv w:val="1"/>
      <w:marLeft w:val="0"/>
      <w:marRight w:val="0"/>
      <w:marTop w:val="0"/>
      <w:marBottom w:val="0"/>
      <w:divBdr>
        <w:top w:val="none" w:sz="0" w:space="0" w:color="auto"/>
        <w:left w:val="none" w:sz="0" w:space="0" w:color="auto"/>
        <w:bottom w:val="none" w:sz="0" w:space="0" w:color="auto"/>
        <w:right w:val="none" w:sz="0" w:space="0" w:color="auto"/>
      </w:divBdr>
    </w:div>
    <w:div w:id="1479805810">
      <w:bodyDiv w:val="1"/>
      <w:marLeft w:val="0"/>
      <w:marRight w:val="0"/>
      <w:marTop w:val="0"/>
      <w:marBottom w:val="0"/>
      <w:divBdr>
        <w:top w:val="none" w:sz="0" w:space="0" w:color="auto"/>
        <w:left w:val="none" w:sz="0" w:space="0" w:color="auto"/>
        <w:bottom w:val="none" w:sz="0" w:space="0" w:color="auto"/>
        <w:right w:val="none" w:sz="0" w:space="0" w:color="auto"/>
      </w:divBdr>
    </w:div>
    <w:div w:id="1489663215">
      <w:bodyDiv w:val="1"/>
      <w:marLeft w:val="0"/>
      <w:marRight w:val="0"/>
      <w:marTop w:val="0"/>
      <w:marBottom w:val="0"/>
      <w:divBdr>
        <w:top w:val="none" w:sz="0" w:space="0" w:color="auto"/>
        <w:left w:val="none" w:sz="0" w:space="0" w:color="auto"/>
        <w:bottom w:val="none" w:sz="0" w:space="0" w:color="auto"/>
        <w:right w:val="none" w:sz="0" w:space="0" w:color="auto"/>
      </w:divBdr>
    </w:div>
    <w:div w:id="1495998460">
      <w:bodyDiv w:val="1"/>
      <w:marLeft w:val="0"/>
      <w:marRight w:val="0"/>
      <w:marTop w:val="0"/>
      <w:marBottom w:val="0"/>
      <w:divBdr>
        <w:top w:val="none" w:sz="0" w:space="0" w:color="auto"/>
        <w:left w:val="none" w:sz="0" w:space="0" w:color="auto"/>
        <w:bottom w:val="none" w:sz="0" w:space="0" w:color="auto"/>
        <w:right w:val="none" w:sz="0" w:space="0" w:color="auto"/>
      </w:divBdr>
    </w:div>
    <w:div w:id="1549410617">
      <w:bodyDiv w:val="1"/>
      <w:marLeft w:val="0"/>
      <w:marRight w:val="0"/>
      <w:marTop w:val="0"/>
      <w:marBottom w:val="0"/>
      <w:divBdr>
        <w:top w:val="none" w:sz="0" w:space="0" w:color="auto"/>
        <w:left w:val="none" w:sz="0" w:space="0" w:color="auto"/>
        <w:bottom w:val="none" w:sz="0" w:space="0" w:color="auto"/>
        <w:right w:val="none" w:sz="0" w:space="0" w:color="auto"/>
      </w:divBdr>
    </w:div>
    <w:div w:id="1558858696">
      <w:bodyDiv w:val="1"/>
      <w:marLeft w:val="0"/>
      <w:marRight w:val="0"/>
      <w:marTop w:val="0"/>
      <w:marBottom w:val="0"/>
      <w:divBdr>
        <w:top w:val="none" w:sz="0" w:space="0" w:color="auto"/>
        <w:left w:val="none" w:sz="0" w:space="0" w:color="auto"/>
        <w:bottom w:val="none" w:sz="0" w:space="0" w:color="auto"/>
        <w:right w:val="none" w:sz="0" w:space="0" w:color="auto"/>
      </w:divBdr>
    </w:div>
    <w:div w:id="1575238927">
      <w:bodyDiv w:val="1"/>
      <w:marLeft w:val="0"/>
      <w:marRight w:val="0"/>
      <w:marTop w:val="0"/>
      <w:marBottom w:val="0"/>
      <w:divBdr>
        <w:top w:val="none" w:sz="0" w:space="0" w:color="auto"/>
        <w:left w:val="none" w:sz="0" w:space="0" w:color="auto"/>
        <w:bottom w:val="none" w:sz="0" w:space="0" w:color="auto"/>
        <w:right w:val="none" w:sz="0" w:space="0" w:color="auto"/>
      </w:divBdr>
    </w:div>
    <w:div w:id="1585651284">
      <w:bodyDiv w:val="1"/>
      <w:marLeft w:val="0"/>
      <w:marRight w:val="0"/>
      <w:marTop w:val="0"/>
      <w:marBottom w:val="0"/>
      <w:divBdr>
        <w:top w:val="none" w:sz="0" w:space="0" w:color="auto"/>
        <w:left w:val="none" w:sz="0" w:space="0" w:color="auto"/>
        <w:bottom w:val="none" w:sz="0" w:space="0" w:color="auto"/>
        <w:right w:val="none" w:sz="0" w:space="0" w:color="auto"/>
      </w:divBdr>
    </w:div>
    <w:div w:id="1657611037">
      <w:bodyDiv w:val="1"/>
      <w:marLeft w:val="0"/>
      <w:marRight w:val="0"/>
      <w:marTop w:val="0"/>
      <w:marBottom w:val="0"/>
      <w:divBdr>
        <w:top w:val="none" w:sz="0" w:space="0" w:color="auto"/>
        <w:left w:val="none" w:sz="0" w:space="0" w:color="auto"/>
        <w:bottom w:val="none" w:sz="0" w:space="0" w:color="auto"/>
        <w:right w:val="none" w:sz="0" w:space="0" w:color="auto"/>
      </w:divBdr>
    </w:div>
    <w:div w:id="1683193224">
      <w:bodyDiv w:val="1"/>
      <w:marLeft w:val="0"/>
      <w:marRight w:val="0"/>
      <w:marTop w:val="0"/>
      <w:marBottom w:val="0"/>
      <w:divBdr>
        <w:top w:val="none" w:sz="0" w:space="0" w:color="auto"/>
        <w:left w:val="none" w:sz="0" w:space="0" w:color="auto"/>
        <w:bottom w:val="none" w:sz="0" w:space="0" w:color="auto"/>
        <w:right w:val="none" w:sz="0" w:space="0" w:color="auto"/>
      </w:divBdr>
    </w:div>
    <w:div w:id="1688631009">
      <w:bodyDiv w:val="1"/>
      <w:marLeft w:val="0"/>
      <w:marRight w:val="0"/>
      <w:marTop w:val="0"/>
      <w:marBottom w:val="0"/>
      <w:divBdr>
        <w:top w:val="none" w:sz="0" w:space="0" w:color="auto"/>
        <w:left w:val="none" w:sz="0" w:space="0" w:color="auto"/>
        <w:bottom w:val="none" w:sz="0" w:space="0" w:color="auto"/>
        <w:right w:val="none" w:sz="0" w:space="0" w:color="auto"/>
      </w:divBdr>
    </w:div>
    <w:div w:id="1717854050">
      <w:bodyDiv w:val="1"/>
      <w:marLeft w:val="0"/>
      <w:marRight w:val="0"/>
      <w:marTop w:val="0"/>
      <w:marBottom w:val="0"/>
      <w:divBdr>
        <w:top w:val="none" w:sz="0" w:space="0" w:color="auto"/>
        <w:left w:val="none" w:sz="0" w:space="0" w:color="auto"/>
        <w:bottom w:val="none" w:sz="0" w:space="0" w:color="auto"/>
        <w:right w:val="none" w:sz="0" w:space="0" w:color="auto"/>
      </w:divBdr>
    </w:div>
    <w:div w:id="1718697128">
      <w:bodyDiv w:val="1"/>
      <w:marLeft w:val="0"/>
      <w:marRight w:val="0"/>
      <w:marTop w:val="0"/>
      <w:marBottom w:val="0"/>
      <w:divBdr>
        <w:top w:val="none" w:sz="0" w:space="0" w:color="auto"/>
        <w:left w:val="none" w:sz="0" w:space="0" w:color="auto"/>
        <w:bottom w:val="none" w:sz="0" w:space="0" w:color="auto"/>
        <w:right w:val="none" w:sz="0" w:space="0" w:color="auto"/>
      </w:divBdr>
    </w:div>
    <w:div w:id="1724327549">
      <w:bodyDiv w:val="1"/>
      <w:marLeft w:val="0"/>
      <w:marRight w:val="0"/>
      <w:marTop w:val="0"/>
      <w:marBottom w:val="0"/>
      <w:divBdr>
        <w:top w:val="none" w:sz="0" w:space="0" w:color="auto"/>
        <w:left w:val="none" w:sz="0" w:space="0" w:color="auto"/>
        <w:bottom w:val="none" w:sz="0" w:space="0" w:color="auto"/>
        <w:right w:val="none" w:sz="0" w:space="0" w:color="auto"/>
      </w:divBdr>
    </w:div>
    <w:div w:id="1732923596">
      <w:bodyDiv w:val="1"/>
      <w:marLeft w:val="0"/>
      <w:marRight w:val="0"/>
      <w:marTop w:val="0"/>
      <w:marBottom w:val="0"/>
      <w:divBdr>
        <w:top w:val="none" w:sz="0" w:space="0" w:color="auto"/>
        <w:left w:val="none" w:sz="0" w:space="0" w:color="auto"/>
        <w:bottom w:val="none" w:sz="0" w:space="0" w:color="auto"/>
        <w:right w:val="none" w:sz="0" w:space="0" w:color="auto"/>
      </w:divBdr>
    </w:div>
    <w:div w:id="1784183246">
      <w:bodyDiv w:val="1"/>
      <w:marLeft w:val="0"/>
      <w:marRight w:val="0"/>
      <w:marTop w:val="0"/>
      <w:marBottom w:val="0"/>
      <w:divBdr>
        <w:top w:val="none" w:sz="0" w:space="0" w:color="auto"/>
        <w:left w:val="none" w:sz="0" w:space="0" w:color="auto"/>
        <w:bottom w:val="none" w:sz="0" w:space="0" w:color="auto"/>
        <w:right w:val="none" w:sz="0" w:space="0" w:color="auto"/>
      </w:divBdr>
      <w:divsChild>
        <w:div w:id="646085647">
          <w:marLeft w:val="446"/>
          <w:marRight w:val="0"/>
          <w:marTop w:val="0"/>
          <w:marBottom w:val="60"/>
          <w:divBdr>
            <w:top w:val="none" w:sz="0" w:space="0" w:color="auto"/>
            <w:left w:val="none" w:sz="0" w:space="0" w:color="auto"/>
            <w:bottom w:val="none" w:sz="0" w:space="0" w:color="auto"/>
            <w:right w:val="none" w:sz="0" w:space="0" w:color="auto"/>
          </w:divBdr>
        </w:div>
        <w:div w:id="1846432215">
          <w:marLeft w:val="446"/>
          <w:marRight w:val="0"/>
          <w:marTop w:val="0"/>
          <w:marBottom w:val="60"/>
          <w:divBdr>
            <w:top w:val="none" w:sz="0" w:space="0" w:color="auto"/>
            <w:left w:val="none" w:sz="0" w:space="0" w:color="auto"/>
            <w:bottom w:val="none" w:sz="0" w:space="0" w:color="auto"/>
            <w:right w:val="none" w:sz="0" w:space="0" w:color="auto"/>
          </w:divBdr>
        </w:div>
      </w:divsChild>
    </w:div>
    <w:div w:id="1800686452">
      <w:bodyDiv w:val="1"/>
      <w:marLeft w:val="0"/>
      <w:marRight w:val="0"/>
      <w:marTop w:val="0"/>
      <w:marBottom w:val="0"/>
      <w:divBdr>
        <w:top w:val="none" w:sz="0" w:space="0" w:color="auto"/>
        <w:left w:val="none" w:sz="0" w:space="0" w:color="auto"/>
        <w:bottom w:val="none" w:sz="0" w:space="0" w:color="auto"/>
        <w:right w:val="none" w:sz="0" w:space="0" w:color="auto"/>
      </w:divBdr>
    </w:div>
    <w:div w:id="1802839308">
      <w:bodyDiv w:val="1"/>
      <w:marLeft w:val="0"/>
      <w:marRight w:val="0"/>
      <w:marTop w:val="0"/>
      <w:marBottom w:val="0"/>
      <w:divBdr>
        <w:top w:val="none" w:sz="0" w:space="0" w:color="auto"/>
        <w:left w:val="none" w:sz="0" w:space="0" w:color="auto"/>
        <w:bottom w:val="none" w:sz="0" w:space="0" w:color="auto"/>
        <w:right w:val="none" w:sz="0" w:space="0" w:color="auto"/>
      </w:divBdr>
    </w:div>
    <w:div w:id="1835876434">
      <w:bodyDiv w:val="1"/>
      <w:marLeft w:val="0"/>
      <w:marRight w:val="0"/>
      <w:marTop w:val="0"/>
      <w:marBottom w:val="0"/>
      <w:divBdr>
        <w:top w:val="none" w:sz="0" w:space="0" w:color="auto"/>
        <w:left w:val="none" w:sz="0" w:space="0" w:color="auto"/>
        <w:bottom w:val="none" w:sz="0" w:space="0" w:color="auto"/>
        <w:right w:val="none" w:sz="0" w:space="0" w:color="auto"/>
      </w:divBdr>
    </w:div>
    <w:div w:id="1866479284">
      <w:bodyDiv w:val="1"/>
      <w:marLeft w:val="0"/>
      <w:marRight w:val="0"/>
      <w:marTop w:val="0"/>
      <w:marBottom w:val="0"/>
      <w:divBdr>
        <w:top w:val="none" w:sz="0" w:space="0" w:color="auto"/>
        <w:left w:val="none" w:sz="0" w:space="0" w:color="auto"/>
        <w:bottom w:val="none" w:sz="0" w:space="0" w:color="auto"/>
        <w:right w:val="none" w:sz="0" w:space="0" w:color="auto"/>
      </w:divBdr>
    </w:div>
    <w:div w:id="1909416641">
      <w:bodyDiv w:val="1"/>
      <w:marLeft w:val="0"/>
      <w:marRight w:val="0"/>
      <w:marTop w:val="0"/>
      <w:marBottom w:val="0"/>
      <w:divBdr>
        <w:top w:val="none" w:sz="0" w:space="0" w:color="auto"/>
        <w:left w:val="none" w:sz="0" w:space="0" w:color="auto"/>
        <w:bottom w:val="none" w:sz="0" w:space="0" w:color="auto"/>
        <w:right w:val="none" w:sz="0" w:space="0" w:color="auto"/>
      </w:divBdr>
    </w:div>
    <w:div w:id="1914583478">
      <w:bodyDiv w:val="1"/>
      <w:marLeft w:val="0"/>
      <w:marRight w:val="0"/>
      <w:marTop w:val="0"/>
      <w:marBottom w:val="0"/>
      <w:divBdr>
        <w:top w:val="none" w:sz="0" w:space="0" w:color="auto"/>
        <w:left w:val="none" w:sz="0" w:space="0" w:color="auto"/>
        <w:bottom w:val="none" w:sz="0" w:space="0" w:color="auto"/>
        <w:right w:val="none" w:sz="0" w:space="0" w:color="auto"/>
      </w:divBdr>
    </w:div>
    <w:div w:id="1944457903">
      <w:bodyDiv w:val="1"/>
      <w:marLeft w:val="0"/>
      <w:marRight w:val="0"/>
      <w:marTop w:val="0"/>
      <w:marBottom w:val="0"/>
      <w:divBdr>
        <w:top w:val="none" w:sz="0" w:space="0" w:color="auto"/>
        <w:left w:val="none" w:sz="0" w:space="0" w:color="auto"/>
        <w:bottom w:val="none" w:sz="0" w:space="0" w:color="auto"/>
        <w:right w:val="none" w:sz="0" w:space="0" w:color="auto"/>
      </w:divBdr>
    </w:div>
    <w:div w:id="1949727216">
      <w:bodyDiv w:val="1"/>
      <w:marLeft w:val="0"/>
      <w:marRight w:val="0"/>
      <w:marTop w:val="0"/>
      <w:marBottom w:val="0"/>
      <w:divBdr>
        <w:top w:val="none" w:sz="0" w:space="0" w:color="auto"/>
        <w:left w:val="none" w:sz="0" w:space="0" w:color="auto"/>
        <w:bottom w:val="none" w:sz="0" w:space="0" w:color="auto"/>
        <w:right w:val="none" w:sz="0" w:space="0" w:color="auto"/>
      </w:divBdr>
    </w:div>
    <w:div w:id="1970668087">
      <w:bodyDiv w:val="1"/>
      <w:marLeft w:val="0"/>
      <w:marRight w:val="0"/>
      <w:marTop w:val="0"/>
      <w:marBottom w:val="0"/>
      <w:divBdr>
        <w:top w:val="none" w:sz="0" w:space="0" w:color="auto"/>
        <w:left w:val="none" w:sz="0" w:space="0" w:color="auto"/>
        <w:bottom w:val="none" w:sz="0" w:space="0" w:color="auto"/>
        <w:right w:val="none" w:sz="0" w:space="0" w:color="auto"/>
      </w:divBdr>
    </w:div>
    <w:div w:id="1975670464">
      <w:bodyDiv w:val="1"/>
      <w:marLeft w:val="0"/>
      <w:marRight w:val="0"/>
      <w:marTop w:val="0"/>
      <w:marBottom w:val="0"/>
      <w:divBdr>
        <w:top w:val="none" w:sz="0" w:space="0" w:color="auto"/>
        <w:left w:val="none" w:sz="0" w:space="0" w:color="auto"/>
        <w:bottom w:val="none" w:sz="0" w:space="0" w:color="auto"/>
        <w:right w:val="none" w:sz="0" w:space="0" w:color="auto"/>
      </w:divBdr>
      <w:divsChild>
        <w:div w:id="62260728">
          <w:marLeft w:val="446"/>
          <w:marRight w:val="0"/>
          <w:marTop w:val="0"/>
          <w:marBottom w:val="60"/>
          <w:divBdr>
            <w:top w:val="none" w:sz="0" w:space="0" w:color="auto"/>
            <w:left w:val="none" w:sz="0" w:space="0" w:color="auto"/>
            <w:bottom w:val="none" w:sz="0" w:space="0" w:color="auto"/>
            <w:right w:val="none" w:sz="0" w:space="0" w:color="auto"/>
          </w:divBdr>
        </w:div>
      </w:divsChild>
    </w:div>
    <w:div w:id="1992296367">
      <w:bodyDiv w:val="1"/>
      <w:marLeft w:val="0"/>
      <w:marRight w:val="0"/>
      <w:marTop w:val="0"/>
      <w:marBottom w:val="0"/>
      <w:divBdr>
        <w:top w:val="none" w:sz="0" w:space="0" w:color="auto"/>
        <w:left w:val="none" w:sz="0" w:space="0" w:color="auto"/>
        <w:bottom w:val="none" w:sz="0" w:space="0" w:color="auto"/>
        <w:right w:val="none" w:sz="0" w:space="0" w:color="auto"/>
      </w:divBdr>
      <w:divsChild>
        <w:div w:id="1829252359">
          <w:marLeft w:val="547"/>
          <w:marRight w:val="0"/>
          <w:marTop w:val="60"/>
          <w:marBottom w:val="0"/>
          <w:divBdr>
            <w:top w:val="none" w:sz="0" w:space="0" w:color="auto"/>
            <w:left w:val="none" w:sz="0" w:space="0" w:color="auto"/>
            <w:bottom w:val="none" w:sz="0" w:space="0" w:color="auto"/>
            <w:right w:val="none" w:sz="0" w:space="0" w:color="auto"/>
          </w:divBdr>
        </w:div>
        <w:div w:id="860554499">
          <w:marLeft w:val="1166"/>
          <w:marRight w:val="0"/>
          <w:marTop w:val="60"/>
          <w:marBottom w:val="0"/>
          <w:divBdr>
            <w:top w:val="none" w:sz="0" w:space="0" w:color="auto"/>
            <w:left w:val="none" w:sz="0" w:space="0" w:color="auto"/>
            <w:bottom w:val="none" w:sz="0" w:space="0" w:color="auto"/>
            <w:right w:val="none" w:sz="0" w:space="0" w:color="auto"/>
          </w:divBdr>
        </w:div>
        <w:div w:id="856426567">
          <w:marLeft w:val="1166"/>
          <w:marRight w:val="0"/>
          <w:marTop w:val="60"/>
          <w:marBottom w:val="0"/>
          <w:divBdr>
            <w:top w:val="none" w:sz="0" w:space="0" w:color="auto"/>
            <w:left w:val="none" w:sz="0" w:space="0" w:color="auto"/>
            <w:bottom w:val="none" w:sz="0" w:space="0" w:color="auto"/>
            <w:right w:val="none" w:sz="0" w:space="0" w:color="auto"/>
          </w:divBdr>
        </w:div>
        <w:div w:id="1007944918">
          <w:marLeft w:val="1166"/>
          <w:marRight w:val="0"/>
          <w:marTop w:val="60"/>
          <w:marBottom w:val="0"/>
          <w:divBdr>
            <w:top w:val="none" w:sz="0" w:space="0" w:color="auto"/>
            <w:left w:val="none" w:sz="0" w:space="0" w:color="auto"/>
            <w:bottom w:val="none" w:sz="0" w:space="0" w:color="auto"/>
            <w:right w:val="none" w:sz="0" w:space="0" w:color="auto"/>
          </w:divBdr>
        </w:div>
        <w:div w:id="122117338">
          <w:marLeft w:val="547"/>
          <w:marRight w:val="0"/>
          <w:marTop w:val="120"/>
          <w:marBottom w:val="0"/>
          <w:divBdr>
            <w:top w:val="none" w:sz="0" w:space="0" w:color="auto"/>
            <w:left w:val="none" w:sz="0" w:space="0" w:color="auto"/>
            <w:bottom w:val="none" w:sz="0" w:space="0" w:color="auto"/>
            <w:right w:val="none" w:sz="0" w:space="0" w:color="auto"/>
          </w:divBdr>
        </w:div>
        <w:div w:id="20789762">
          <w:marLeft w:val="547"/>
          <w:marRight w:val="0"/>
          <w:marTop w:val="120"/>
          <w:marBottom w:val="0"/>
          <w:divBdr>
            <w:top w:val="none" w:sz="0" w:space="0" w:color="auto"/>
            <w:left w:val="none" w:sz="0" w:space="0" w:color="auto"/>
            <w:bottom w:val="none" w:sz="0" w:space="0" w:color="auto"/>
            <w:right w:val="none" w:sz="0" w:space="0" w:color="auto"/>
          </w:divBdr>
        </w:div>
        <w:div w:id="1353918468">
          <w:marLeft w:val="547"/>
          <w:marRight w:val="0"/>
          <w:marTop w:val="120"/>
          <w:marBottom w:val="0"/>
          <w:divBdr>
            <w:top w:val="none" w:sz="0" w:space="0" w:color="auto"/>
            <w:left w:val="none" w:sz="0" w:space="0" w:color="auto"/>
            <w:bottom w:val="none" w:sz="0" w:space="0" w:color="auto"/>
            <w:right w:val="none" w:sz="0" w:space="0" w:color="auto"/>
          </w:divBdr>
        </w:div>
        <w:div w:id="1798452865">
          <w:marLeft w:val="1166"/>
          <w:marRight w:val="0"/>
          <w:marTop w:val="60"/>
          <w:marBottom w:val="0"/>
          <w:divBdr>
            <w:top w:val="none" w:sz="0" w:space="0" w:color="auto"/>
            <w:left w:val="none" w:sz="0" w:space="0" w:color="auto"/>
            <w:bottom w:val="none" w:sz="0" w:space="0" w:color="auto"/>
            <w:right w:val="none" w:sz="0" w:space="0" w:color="auto"/>
          </w:divBdr>
        </w:div>
        <w:div w:id="890120500">
          <w:marLeft w:val="1166"/>
          <w:marRight w:val="0"/>
          <w:marTop w:val="60"/>
          <w:marBottom w:val="0"/>
          <w:divBdr>
            <w:top w:val="none" w:sz="0" w:space="0" w:color="auto"/>
            <w:left w:val="none" w:sz="0" w:space="0" w:color="auto"/>
            <w:bottom w:val="none" w:sz="0" w:space="0" w:color="auto"/>
            <w:right w:val="none" w:sz="0" w:space="0" w:color="auto"/>
          </w:divBdr>
        </w:div>
        <w:div w:id="2050643975">
          <w:marLeft w:val="547"/>
          <w:marRight w:val="0"/>
          <w:marTop w:val="120"/>
          <w:marBottom w:val="0"/>
          <w:divBdr>
            <w:top w:val="none" w:sz="0" w:space="0" w:color="auto"/>
            <w:left w:val="none" w:sz="0" w:space="0" w:color="auto"/>
            <w:bottom w:val="none" w:sz="0" w:space="0" w:color="auto"/>
            <w:right w:val="none" w:sz="0" w:space="0" w:color="auto"/>
          </w:divBdr>
        </w:div>
        <w:div w:id="56127404">
          <w:marLeft w:val="1166"/>
          <w:marRight w:val="0"/>
          <w:marTop w:val="60"/>
          <w:marBottom w:val="0"/>
          <w:divBdr>
            <w:top w:val="none" w:sz="0" w:space="0" w:color="auto"/>
            <w:left w:val="none" w:sz="0" w:space="0" w:color="auto"/>
            <w:bottom w:val="none" w:sz="0" w:space="0" w:color="auto"/>
            <w:right w:val="none" w:sz="0" w:space="0" w:color="auto"/>
          </w:divBdr>
        </w:div>
        <w:div w:id="1108505314">
          <w:marLeft w:val="1166"/>
          <w:marRight w:val="0"/>
          <w:marTop w:val="60"/>
          <w:marBottom w:val="0"/>
          <w:divBdr>
            <w:top w:val="none" w:sz="0" w:space="0" w:color="auto"/>
            <w:left w:val="none" w:sz="0" w:space="0" w:color="auto"/>
            <w:bottom w:val="none" w:sz="0" w:space="0" w:color="auto"/>
            <w:right w:val="none" w:sz="0" w:space="0" w:color="auto"/>
          </w:divBdr>
        </w:div>
      </w:divsChild>
    </w:div>
    <w:div w:id="2007056515">
      <w:bodyDiv w:val="1"/>
      <w:marLeft w:val="0"/>
      <w:marRight w:val="0"/>
      <w:marTop w:val="0"/>
      <w:marBottom w:val="0"/>
      <w:divBdr>
        <w:top w:val="none" w:sz="0" w:space="0" w:color="auto"/>
        <w:left w:val="none" w:sz="0" w:space="0" w:color="auto"/>
        <w:bottom w:val="none" w:sz="0" w:space="0" w:color="auto"/>
        <w:right w:val="none" w:sz="0" w:space="0" w:color="auto"/>
      </w:divBdr>
    </w:div>
    <w:div w:id="2020429693">
      <w:bodyDiv w:val="1"/>
      <w:marLeft w:val="0"/>
      <w:marRight w:val="0"/>
      <w:marTop w:val="0"/>
      <w:marBottom w:val="0"/>
      <w:divBdr>
        <w:top w:val="none" w:sz="0" w:space="0" w:color="auto"/>
        <w:left w:val="none" w:sz="0" w:space="0" w:color="auto"/>
        <w:bottom w:val="none" w:sz="0" w:space="0" w:color="auto"/>
        <w:right w:val="none" w:sz="0" w:space="0" w:color="auto"/>
      </w:divBdr>
    </w:div>
    <w:div w:id="2032559961">
      <w:bodyDiv w:val="1"/>
      <w:marLeft w:val="0"/>
      <w:marRight w:val="0"/>
      <w:marTop w:val="0"/>
      <w:marBottom w:val="0"/>
      <w:divBdr>
        <w:top w:val="none" w:sz="0" w:space="0" w:color="auto"/>
        <w:left w:val="none" w:sz="0" w:space="0" w:color="auto"/>
        <w:bottom w:val="none" w:sz="0" w:space="0" w:color="auto"/>
        <w:right w:val="none" w:sz="0" w:space="0" w:color="auto"/>
      </w:divBdr>
    </w:div>
    <w:div w:id="2034379215">
      <w:bodyDiv w:val="1"/>
      <w:marLeft w:val="0"/>
      <w:marRight w:val="0"/>
      <w:marTop w:val="0"/>
      <w:marBottom w:val="0"/>
      <w:divBdr>
        <w:top w:val="none" w:sz="0" w:space="0" w:color="auto"/>
        <w:left w:val="none" w:sz="0" w:space="0" w:color="auto"/>
        <w:bottom w:val="none" w:sz="0" w:space="0" w:color="auto"/>
        <w:right w:val="none" w:sz="0" w:space="0" w:color="auto"/>
      </w:divBdr>
    </w:div>
    <w:div w:id="2058160026">
      <w:bodyDiv w:val="1"/>
      <w:marLeft w:val="0"/>
      <w:marRight w:val="0"/>
      <w:marTop w:val="0"/>
      <w:marBottom w:val="0"/>
      <w:divBdr>
        <w:top w:val="none" w:sz="0" w:space="0" w:color="auto"/>
        <w:left w:val="none" w:sz="0" w:space="0" w:color="auto"/>
        <w:bottom w:val="none" w:sz="0" w:space="0" w:color="auto"/>
        <w:right w:val="none" w:sz="0" w:space="0" w:color="auto"/>
      </w:divBdr>
    </w:div>
    <w:div w:id="2076274777">
      <w:bodyDiv w:val="1"/>
      <w:marLeft w:val="0"/>
      <w:marRight w:val="0"/>
      <w:marTop w:val="0"/>
      <w:marBottom w:val="0"/>
      <w:divBdr>
        <w:top w:val="none" w:sz="0" w:space="0" w:color="auto"/>
        <w:left w:val="none" w:sz="0" w:space="0" w:color="auto"/>
        <w:bottom w:val="none" w:sz="0" w:space="0" w:color="auto"/>
        <w:right w:val="none" w:sz="0" w:space="0" w:color="auto"/>
      </w:divBdr>
    </w:div>
    <w:div w:id="2081829820">
      <w:bodyDiv w:val="1"/>
      <w:marLeft w:val="0"/>
      <w:marRight w:val="0"/>
      <w:marTop w:val="0"/>
      <w:marBottom w:val="0"/>
      <w:divBdr>
        <w:top w:val="none" w:sz="0" w:space="0" w:color="auto"/>
        <w:left w:val="none" w:sz="0" w:space="0" w:color="auto"/>
        <w:bottom w:val="none" w:sz="0" w:space="0" w:color="auto"/>
        <w:right w:val="none" w:sz="0" w:space="0" w:color="auto"/>
      </w:divBdr>
    </w:div>
    <w:div w:id="2082944280">
      <w:bodyDiv w:val="1"/>
      <w:marLeft w:val="0"/>
      <w:marRight w:val="0"/>
      <w:marTop w:val="0"/>
      <w:marBottom w:val="0"/>
      <w:divBdr>
        <w:top w:val="none" w:sz="0" w:space="0" w:color="auto"/>
        <w:left w:val="none" w:sz="0" w:space="0" w:color="auto"/>
        <w:bottom w:val="none" w:sz="0" w:space="0" w:color="auto"/>
        <w:right w:val="none" w:sz="0" w:space="0" w:color="auto"/>
      </w:divBdr>
    </w:div>
    <w:div w:id="2096129176">
      <w:bodyDiv w:val="1"/>
      <w:marLeft w:val="0"/>
      <w:marRight w:val="0"/>
      <w:marTop w:val="0"/>
      <w:marBottom w:val="0"/>
      <w:divBdr>
        <w:top w:val="none" w:sz="0" w:space="0" w:color="auto"/>
        <w:left w:val="none" w:sz="0" w:space="0" w:color="auto"/>
        <w:bottom w:val="none" w:sz="0" w:space="0" w:color="auto"/>
        <w:right w:val="none" w:sz="0" w:space="0" w:color="auto"/>
      </w:divBdr>
    </w:div>
    <w:div w:id="2133163323">
      <w:bodyDiv w:val="1"/>
      <w:marLeft w:val="0"/>
      <w:marRight w:val="0"/>
      <w:marTop w:val="0"/>
      <w:marBottom w:val="0"/>
      <w:divBdr>
        <w:top w:val="none" w:sz="0" w:space="0" w:color="auto"/>
        <w:left w:val="none" w:sz="0" w:space="0" w:color="auto"/>
        <w:bottom w:val="none" w:sz="0" w:space="0" w:color="auto"/>
        <w:right w:val="none" w:sz="0" w:space="0" w:color="auto"/>
      </w:divBdr>
    </w:div>
    <w:div w:id="2133477786">
      <w:bodyDiv w:val="1"/>
      <w:marLeft w:val="0"/>
      <w:marRight w:val="0"/>
      <w:marTop w:val="0"/>
      <w:marBottom w:val="0"/>
      <w:divBdr>
        <w:top w:val="none" w:sz="0" w:space="0" w:color="auto"/>
        <w:left w:val="none" w:sz="0" w:space="0" w:color="auto"/>
        <w:bottom w:val="none" w:sz="0" w:space="0" w:color="auto"/>
        <w:right w:val="none" w:sz="0" w:space="0" w:color="auto"/>
      </w:divBdr>
    </w:div>
    <w:div w:id="2146384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eur01.safelinks.protection.outlook.com/?url=https%3A%2F%2Fdata.cese.nsw.gov.au%2Fdata%2Fdataset%2Fc0a90a6f-2509-45c5-ba77-cf5b00350043%2Fresource%2F7d039678-7527-4744-93a5-e162aa74de11%2Fdownload%2F2021_suspension-and-expulsion-factsheet_vr_v2_aa.pdf&amp;data=05%7C02%7Cabigail.marwick%40au.ey.com%7C5a913be8a4a24eff5bd708dc546691d8%7C5b973f9977df4bebb27daa0c70b8482c%7C0%7C0%7C638478046820944390%7CUnknown%7CTWFpbGZsb3d8eyJWIjoiMC4wLjAwMDAiLCJQIjoiV2luMzIiLCJBTiI6Ik1haWwiLCJXVCI6Mn0%3D%7C0%7C%7C%7C&amp;sdata=FRtMqPvx%2Fpy5uQqJ%2BXrrauzUKpoK4lqroG1bF3pjuqA%3D&amp;reserved=0" TargetMode="External"/><Relationship Id="rId26" Type="http://schemas.openxmlformats.org/officeDocument/2006/relationships/image" Target="media/image8.emf"/><Relationship Id="rId39" Type="http://schemas.openxmlformats.org/officeDocument/2006/relationships/theme" Target="theme/theme1.xml"/><Relationship Id="rId21" Type="http://schemas.openxmlformats.org/officeDocument/2006/relationships/footer" Target="footer3.xml"/><Relationship Id="rId34" Type="http://schemas.openxmlformats.org/officeDocument/2006/relationships/hyperlink" Target="https://escholarship.org/uc/item/85m2m6sj"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image" Target="media/image7.emf"/><Relationship Id="rId33" Type="http://schemas.openxmlformats.org/officeDocument/2006/relationships/hyperlink" Target="https://doi.org/10.1007/s00181-014-0810-1"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image" Target="media/image4.emf"/><Relationship Id="rId29"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emf"/><Relationship Id="rId32" Type="http://schemas.openxmlformats.org/officeDocument/2006/relationships/image" Target="media/image14.emf"/><Relationship Id="rId37"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5.emf"/><Relationship Id="rId28" Type="http://schemas.openxmlformats.org/officeDocument/2006/relationships/image" Target="media/image10.emf"/><Relationship Id="rId36"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eur01.safelinks.protection.outlook.com/?url=https%3A%2F%2Fdata.ndis.gov.au%2Fmedia%2F2526%2Fdownload%3Fattachment&amp;data=05%7C02%7Cabigail.marwick%40au.ey.com%7C5a913be8a4a24eff5bd708dc546691d8%7C5b973f9977df4bebb27daa0c70b8482c%7C0%7C0%7C638478046820952980%7CUnknown%7CTWFpbGZsb3d8eyJWIjoiMC4wLjAwMDAiLCJQIjoiV2luMzIiLCJBTiI6Ik1haWwiLCJXVCI6Mn0%3D%7C0%7C%7C%7C&amp;sdata=fEEoRghjkK2PXhMeywCWJg98I%2FR1gWyaGIEOtJKYBUw%3D&amp;reserved=0" TargetMode="External"/><Relationship Id="rId31" Type="http://schemas.openxmlformats.org/officeDocument/2006/relationships/image" Target="media/image1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aihw.gov.au/reports/youth-justice/youth-justice-in-australia-2021-22/data" TargetMode="External"/><Relationship Id="rId27" Type="http://schemas.openxmlformats.org/officeDocument/2006/relationships/image" Target="media/image9.emf"/><Relationship Id="rId30" Type="http://schemas.openxmlformats.org/officeDocument/2006/relationships/image" Target="media/image12.emf"/><Relationship Id="rId35" Type="http://schemas.openxmlformats.org/officeDocument/2006/relationships/hyperlink" Target="https://doi.org/10.1111/bjep.12656"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222UZ\AppData\Roaming\Microsoft\Templates\EYWord\Reports\AUS_EY_Report_Portrait_Cover_Included.dotx" TargetMode="External"/></Relationships>
</file>

<file path=word/theme/theme1.xml><?xml version="1.0" encoding="utf-8"?>
<a:theme xmlns:a="http://schemas.openxmlformats.org/drawingml/2006/main" name="Office Theme">
  <a:themeElements>
    <a:clrScheme name="EY Color">
      <a:dk1>
        <a:srgbClr val="2E2E38"/>
      </a:dk1>
      <a:lt1>
        <a:sysClr val="window" lastClr="FFFFFF"/>
      </a:lt1>
      <a:dk2>
        <a:srgbClr val="FFE600"/>
      </a:dk2>
      <a:lt2>
        <a:srgbClr val="000000"/>
      </a:lt2>
      <a:accent1>
        <a:srgbClr val="2DB757"/>
      </a:accent1>
      <a:accent2>
        <a:srgbClr val="27ACAA"/>
      </a:accent2>
      <a:accent3>
        <a:srgbClr val="188CE5"/>
      </a:accent3>
      <a:accent4>
        <a:srgbClr val="3D108A"/>
      </a:accent4>
      <a:accent5>
        <a:srgbClr val="FF4136"/>
      </a:accent5>
      <a:accent6>
        <a:srgbClr val="FF6D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EY colors">
        <a:dk1>
          <a:srgbClr val="000000"/>
        </a:dk1>
        <a:lt1>
          <a:srgbClr val="646464"/>
        </a:lt1>
        <a:dk2>
          <a:srgbClr val="FFFFFF"/>
        </a:dk2>
        <a:lt2>
          <a:srgbClr val="646464"/>
        </a:lt2>
        <a:accent1>
          <a:srgbClr val="808080"/>
        </a:accent1>
        <a:accent2>
          <a:srgbClr val="FFE600"/>
        </a:accent2>
        <a:accent3>
          <a:srgbClr val="999999"/>
        </a:accent3>
        <a:accent4>
          <a:srgbClr val="F0F0F0"/>
        </a:accent4>
        <a:accent5>
          <a:srgbClr val="00A3AE"/>
        </a:accent5>
        <a:accent6>
          <a:srgbClr val="C0C0C0"/>
        </a:accent6>
        <a:hlink>
          <a:srgbClr val="336699"/>
        </a:hlink>
        <a:folHlink>
          <a:srgbClr val="91278F"/>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7a38cf9-dc85-445d-9aa2-b5db5c9f5d78">
      <UserInfo>
        <DisplayName>Chris OHehir</DisplayName>
        <AccountId>19</AccountId>
        <AccountType/>
      </UserInfo>
      <UserInfo>
        <DisplayName>Chris Zhang</DisplayName>
        <AccountId>22</AccountId>
        <AccountType/>
      </UserInfo>
      <UserInfo>
        <DisplayName>Abigail Marwick</DisplayName>
        <AccountId>14</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308D3EB8C1564C85391A73AC7B631D" ma:contentTypeVersion="6" ma:contentTypeDescription="Create a new document." ma:contentTypeScope="" ma:versionID="e5165c3a7fd81700dc03b19b26c0e943">
  <xsd:schema xmlns:xsd="http://www.w3.org/2001/XMLSchema" xmlns:xs="http://www.w3.org/2001/XMLSchema" xmlns:p="http://schemas.microsoft.com/office/2006/metadata/properties" xmlns:ns2="841d69dc-727c-4f4f-b73d-d162a244d246" xmlns:ns3="a7a38cf9-dc85-445d-9aa2-b5db5c9f5d78" targetNamespace="http://schemas.microsoft.com/office/2006/metadata/properties" ma:root="true" ma:fieldsID="7745a03034a34c4e54e3d15903f651a8" ns2:_="" ns3:_="">
    <xsd:import namespace="841d69dc-727c-4f4f-b73d-d162a244d246"/>
    <xsd:import namespace="a7a38cf9-dc85-445d-9aa2-b5db5c9f5d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1d69dc-727c-4f4f-b73d-d162a244d2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a38cf9-dc85-445d-9aa2-b5db5c9f5d7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16ABB-736C-48A6-9CE5-B54256A60D7D}">
  <ds:schemaRefs>
    <ds:schemaRef ds:uri="http://schemas.microsoft.com/office/2006/metadata/properties"/>
    <ds:schemaRef ds:uri="http://schemas.microsoft.com/office/infopath/2007/PartnerControls"/>
    <ds:schemaRef ds:uri="a7a38cf9-dc85-445d-9aa2-b5db5c9f5d78"/>
  </ds:schemaRefs>
</ds:datastoreItem>
</file>

<file path=customXml/itemProps2.xml><?xml version="1.0" encoding="utf-8"?>
<ds:datastoreItem xmlns:ds="http://schemas.openxmlformats.org/officeDocument/2006/customXml" ds:itemID="{0A8744E6-E90E-4210-9F96-C1EBEEFBE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1d69dc-727c-4f4f-b73d-d162a244d246"/>
    <ds:schemaRef ds:uri="a7a38cf9-dc85-445d-9aa2-b5db5c9f5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9890C-FAC8-4A5E-9F6B-FE7095B64B3E}">
  <ds:schemaRefs>
    <ds:schemaRef ds:uri="http://schemas.microsoft.com/sharepoint/v3/contenttype/forms"/>
  </ds:schemaRefs>
</ds:datastoreItem>
</file>

<file path=customXml/itemProps4.xml><?xml version="1.0" encoding="utf-8"?>
<ds:datastoreItem xmlns:ds="http://schemas.openxmlformats.org/officeDocument/2006/customXml" ds:itemID="{16E4E823-1B66-4DD1-91EB-8FFF21208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AUS_EY_Report_Portrait_Cover_Included</Template>
  <TotalTime>0</TotalTime>
  <Pages>36</Pages>
  <Words>11996</Words>
  <Characters>75909</Characters>
  <Application>Microsoft Office Word</Application>
  <DocSecurity>0</DocSecurity>
  <Lines>632</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87730</CharactersWithSpaces>
  <SharedDoc>false</SharedDoc>
  <HLinks>
    <vt:vector size="126" baseType="variant">
      <vt:variant>
        <vt:i4>3407930</vt:i4>
      </vt:variant>
      <vt:variant>
        <vt:i4>120</vt:i4>
      </vt:variant>
      <vt:variant>
        <vt:i4>0</vt:i4>
      </vt:variant>
      <vt:variant>
        <vt:i4>5</vt:i4>
      </vt:variant>
      <vt:variant>
        <vt:lpwstr>https://education.qld.gov.au/student/Documents/disability-review-report.pdf</vt:lpwstr>
      </vt:variant>
      <vt:variant>
        <vt:lpwstr/>
      </vt:variant>
      <vt:variant>
        <vt:i4>3932213</vt:i4>
      </vt:variant>
      <vt:variant>
        <vt:i4>117</vt:i4>
      </vt:variant>
      <vt:variant>
        <vt:i4>0</vt:i4>
      </vt:variant>
      <vt:variant>
        <vt:i4>5</vt:i4>
      </vt:variant>
      <vt:variant>
        <vt:lpwstr>https://www.education.sa.gov.au/docs/system-performance/sa-ccyp-2020-report-the-blame-game.pdf</vt:lpwstr>
      </vt:variant>
      <vt:variant>
        <vt:lpwstr/>
      </vt:variant>
      <vt:variant>
        <vt:i4>3932213</vt:i4>
      </vt:variant>
      <vt:variant>
        <vt:i4>114</vt:i4>
      </vt:variant>
      <vt:variant>
        <vt:i4>0</vt:i4>
      </vt:variant>
      <vt:variant>
        <vt:i4>5</vt:i4>
      </vt:variant>
      <vt:variant>
        <vt:lpwstr>https://www.education.sa.gov.au/docs/system-performance/sa-ccyp-2020-report-the-blame-game.pdf</vt:lpwstr>
      </vt:variant>
      <vt:variant>
        <vt:lpwstr/>
      </vt:variant>
      <vt:variant>
        <vt:i4>3539013</vt:i4>
      </vt:variant>
      <vt:variant>
        <vt:i4>111</vt:i4>
      </vt:variant>
      <vt:variant>
        <vt:i4>0</vt:i4>
      </vt:variant>
      <vt:variant>
        <vt:i4>5</vt:i4>
      </vt:variant>
      <vt:variant>
        <vt:lpwstr>https://www.youthpolicy.org/library/wp-content/uploads/2011/10/Australia_youth_unemployment_report.pd</vt:lpwstr>
      </vt:variant>
      <vt:variant>
        <vt:lpwstr/>
      </vt:variant>
      <vt:variant>
        <vt:i4>6619257</vt:i4>
      </vt:variant>
      <vt:variant>
        <vt:i4>108</vt:i4>
      </vt:variant>
      <vt:variant>
        <vt:i4>0</vt:i4>
      </vt:variant>
      <vt:variant>
        <vt:i4>5</vt:i4>
      </vt:variant>
      <vt:variant>
        <vt:lpwstr>https://www.rba.gov.au/inflation/inflation-target.html</vt:lpwstr>
      </vt:variant>
      <vt:variant>
        <vt:lpwstr/>
      </vt:variant>
      <vt:variant>
        <vt:i4>5636173</vt:i4>
      </vt:variant>
      <vt:variant>
        <vt:i4>105</vt:i4>
      </vt:variant>
      <vt:variant>
        <vt:i4>0</vt:i4>
      </vt:variant>
      <vt:variant>
        <vt:i4>5</vt:i4>
      </vt:variant>
      <vt:variant>
        <vt:lpwstr>https://www.aihw.gov.au/reports/youth-justice/youth-justice-in-australia-2021-22/data</vt:lpwstr>
      </vt:variant>
      <vt:variant>
        <vt:lpwstr/>
      </vt:variant>
      <vt:variant>
        <vt:i4>5636173</vt:i4>
      </vt:variant>
      <vt:variant>
        <vt:i4>102</vt:i4>
      </vt:variant>
      <vt:variant>
        <vt:i4>0</vt:i4>
      </vt:variant>
      <vt:variant>
        <vt:i4>5</vt:i4>
      </vt:variant>
      <vt:variant>
        <vt:lpwstr>https://www.aihw.gov.au/reports/youth-justice/youth-justice-in-australia-2021-22/data</vt:lpwstr>
      </vt:variant>
      <vt:variant>
        <vt:lpwstr/>
      </vt:variant>
      <vt:variant>
        <vt:i4>1245244</vt:i4>
      </vt:variant>
      <vt:variant>
        <vt:i4>80</vt:i4>
      </vt:variant>
      <vt:variant>
        <vt:i4>0</vt:i4>
      </vt:variant>
      <vt:variant>
        <vt:i4>5</vt:i4>
      </vt:variant>
      <vt:variant>
        <vt:lpwstr/>
      </vt:variant>
      <vt:variant>
        <vt:lpwstr>_Toc158715434</vt:lpwstr>
      </vt:variant>
      <vt:variant>
        <vt:i4>1245244</vt:i4>
      </vt:variant>
      <vt:variant>
        <vt:i4>74</vt:i4>
      </vt:variant>
      <vt:variant>
        <vt:i4>0</vt:i4>
      </vt:variant>
      <vt:variant>
        <vt:i4>5</vt:i4>
      </vt:variant>
      <vt:variant>
        <vt:lpwstr/>
      </vt:variant>
      <vt:variant>
        <vt:lpwstr>_Toc158715433</vt:lpwstr>
      </vt:variant>
      <vt:variant>
        <vt:i4>1245244</vt:i4>
      </vt:variant>
      <vt:variant>
        <vt:i4>68</vt:i4>
      </vt:variant>
      <vt:variant>
        <vt:i4>0</vt:i4>
      </vt:variant>
      <vt:variant>
        <vt:i4>5</vt:i4>
      </vt:variant>
      <vt:variant>
        <vt:lpwstr/>
      </vt:variant>
      <vt:variant>
        <vt:lpwstr>_Toc158715432</vt:lpwstr>
      </vt:variant>
      <vt:variant>
        <vt:i4>1245244</vt:i4>
      </vt:variant>
      <vt:variant>
        <vt:i4>62</vt:i4>
      </vt:variant>
      <vt:variant>
        <vt:i4>0</vt:i4>
      </vt:variant>
      <vt:variant>
        <vt:i4>5</vt:i4>
      </vt:variant>
      <vt:variant>
        <vt:lpwstr/>
      </vt:variant>
      <vt:variant>
        <vt:lpwstr>_Toc158715431</vt:lpwstr>
      </vt:variant>
      <vt:variant>
        <vt:i4>1245244</vt:i4>
      </vt:variant>
      <vt:variant>
        <vt:i4>56</vt:i4>
      </vt:variant>
      <vt:variant>
        <vt:i4>0</vt:i4>
      </vt:variant>
      <vt:variant>
        <vt:i4>5</vt:i4>
      </vt:variant>
      <vt:variant>
        <vt:lpwstr/>
      </vt:variant>
      <vt:variant>
        <vt:lpwstr>_Toc158715430</vt:lpwstr>
      </vt:variant>
      <vt:variant>
        <vt:i4>1179708</vt:i4>
      </vt:variant>
      <vt:variant>
        <vt:i4>50</vt:i4>
      </vt:variant>
      <vt:variant>
        <vt:i4>0</vt:i4>
      </vt:variant>
      <vt:variant>
        <vt:i4>5</vt:i4>
      </vt:variant>
      <vt:variant>
        <vt:lpwstr/>
      </vt:variant>
      <vt:variant>
        <vt:lpwstr>_Toc158715429</vt:lpwstr>
      </vt:variant>
      <vt:variant>
        <vt:i4>1179708</vt:i4>
      </vt:variant>
      <vt:variant>
        <vt:i4>44</vt:i4>
      </vt:variant>
      <vt:variant>
        <vt:i4>0</vt:i4>
      </vt:variant>
      <vt:variant>
        <vt:i4>5</vt:i4>
      </vt:variant>
      <vt:variant>
        <vt:lpwstr/>
      </vt:variant>
      <vt:variant>
        <vt:lpwstr>_Toc158715428</vt:lpwstr>
      </vt:variant>
      <vt:variant>
        <vt:i4>1179708</vt:i4>
      </vt:variant>
      <vt:variant>
        <vt:i4>38</vt:i4>
      </vt:variant>
      <vt:variant>
        <vt:i4>0</vt:i4>
      </vt:variant>
      <vt:variant>
        <vt:i4>5</vt:i4>
      </vt:variant>
      <vt:variant>
        <vt:lpwstr/>
      </vt:variant>
      <vt:variant>
        <vt:lpwstr>_Toc158715427</vt:lpwstr>
      </vt:variant>
      <vt:variant>
        <vt:i4>1179708</vt:i4>
      </vt:variant>
      <vt:variant>
        <vt:i4>32</vt:i4>
      </vt:variant>
      <vt:variant>
        <vt:i4>0</vt:i4>
      </vt:variant>
      <vt:variant>
        <vt:i4>5</vt:i4>
      </vt:variant>
      <vt:variant>
        <vt:lpwstr/>
      </vt:variant>
      <vt:variant>
        <vt:lpwstr>_Toc158715426</vt:lpwstr>
      </vt:variant>
      <vt:variant>
        <vt:i4>1179708</vt:i4>
      </vt:variant>
      <vt:variant>
        <vt:i4>26</vt:i4>
      </vt:variant>
      <vt:variant>
        <vt:i4>0</vt:i4>
      </vt:variant>
      <vt:variant>
        <vt:i4>5</vt:i4>
      </vt:variant>
      <vt:variant>
        <vt:lpwstr/>
      </vt:variant>
      <vt:variant>
        <vt:lpwstr>_Toc158715425</vt:lpwstr>
      </vt:variant>
      <vt:variant>
        <vt:i4>1179708</vt:i4>
      </vt:variant>
      <vt:variant>
        <vt:i4>20</vt:i4>
      </vt:variant>
      <vt:variant>
        <vt:i4>0</vt:i4>
      </vt:variant>
      <vt:variant>
        <vt:i4>5</vt:i4>
      </vt:variant>
      <vt:variant>
        <vt:lpwstr/>
      </vt:variant>
      <vt:variant>
        <vt:lpwstr>_Toc158715424</vt:lpwstr>
      </vt:variant>
      <vt:variant>
        <vt:i4>1179708</vt:i4>
      </vt:variant>
      <vt:variant>
        <vt:i4>14</vt:i4>
      </vt:variant>
      <vt:variant>
        <vt:i4>0</vt:i4>
      </vt:variant>
      <vt:variant>
        <vt:i4>5</vt:i4>
      </vt:variant>
      <vt:variant>
        <vt:lpwstr/>
      </vt:variant>
      <vt:variant>
        <vt:lpwstr>_Toc158715423</vt:lpwstr>
      </vt:variant>
      <vt:variant>
        <vt:i4>1179708</vt:i4>
      </vt:variant>
      <vt:variant>
        <vt:i4>8</vt:i4>
      </vt:variant>
      <vt:variant>
        <vt:i4>0</vt:i4>
      </vt:variant>
      <vt:variant>
        <vt:i4>5</vt:i4>
      </vt:variant>
      <vt:variant>
        <vt:lpwstr/>
      </vt:variant>
      <vt:variant>
        <vt:lpwstr>_Toc158715422</vt:lpwstr>
      </vt:variant>
      <vt:variant>
        <vt:i4>1179708</vt:i4>
      </vt:variant>
      <vt:variant>
        <vt:i4>2</vt:i4>
      </vt:variant>
      <vt:variant>
        <vt:i4>0</vt:i4>
      </vt:variant>
      <vt:variant>
        <vt:i4>5</vt:i4>
      </vt:variant>
      <vt:variant>
        <vt:lpwstr/>
      </vt:variant>
      <vt:variant>
        <vt:lpwstr>_Toc158715421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2024-07-25T05:48:00Z</dcterms:created>
  <dcterms:modified xsi:type="dcterms:W3CDTF">2024-07-25T05:49:00Z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0x010100EC308D3EB8C1564C85391A73AC7B631D</vt:lpwstr>
  </property>
</Properties>
</file>